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603A6" w14:textId="77777777" w:rsidR="00976D2F" w:rsidRDefault="00976D2F" w:rsidP="00976D2F">
      <w:pPr>
        <w:jc w:val="right"/>
        <w:rPr>
          <w:rFonts w:ascii="Times New Roman" w:hAnsi="Times New Roman"/>
          <w:sz w:val="28"/>
          <w:szCs w:val="28"/>
        </w:rPr>
      </w:pPr>
      <w:r w:rsidRPr="002E4413">
        <w:rPr>
          <w:rFonts w:ascii="Times New Roman" w:hAnsi="Times New Roman"/>
          <w:sz w:val="28"/>
          <w:szCs w:val="28"/>
        </w:rPr>
        <w:t>Приложение</w:t>
      </w:r>
      <w:r>
        <w:rPr>
          <w:rFonts w:ascii="Times New Roman" w:hAnsi="Times New Roman"/>
          <w:sz w:val="28"/>
          <w:szCs w:val="28"/>
        </w:rPr>
        <w:t xml:space="preserve"> №2</w:t>
      </w:r>
    </w:p>
    <w:p w14:paraId="42A0A1A5" w14:textId="0DC096FF" w:rsidR="00976D2F" w:rsidRDefault="00976D2F" w:rsidP="00976D2F">
      <w:pPr>
        <w:jc w:val="right"/>
        <w:rPr>
          <w:rFonts w:ascii="Times New Roman" w:hAnsi="Times New Roman"/>
          <w:sz w:val="28"/>
          <w:szCs w:val="28"/>
        </w:rPr>
      </w:pPr>
      <w:r w:rsidRPr="002E4413">
        <w:rPr>
          <w:rFonts w:ascii="Times New Roman" w:hAnsi="Times New Roman"/>
          <w:sz w:val="28"/>
          <w:szCs w:val="28"/>
        </w:rPr>
        <w:t xml:space="preserve"> к постановлени</w:t>
      </w:r>
      <w:r w:rsidR="005E00D1">
        <w:rPr>
          <w:rFonts w:ascii="Times New Roman" w:hAnsi="Times New Roman"/>
          <w:sz w:val="28"/>
          <w:szCs w:val="28"/>
        </w:rPr>
        <w:t>ю администрации МО</w:t>
      </w:r>
    </w:p>
    <w:p w14:paraId="306D7DB1" w14:textId="424FE357" w:rsidR="005E00D1" w:rsidRDefault="005E00D1" w:rsidP="00976D2F">
      <w:pPr>
        <w:jc w:val="right"/>
        <w:rPr>
          <w:rFonts w:ascii="Times New Roman" w:hAnsi="Times New Roman"/>
          <w:sz w:val="28"/>
          <w:szCs w:val="28"/>
        </w:rPr>
      </w:pPr>
      <w:r>
        <w:rPr>
          <w:rFonts w:ascii="Times New Roman" w:hAnsi="Times New Roman"/>
          <w:sz w:val="28"/>
          <w:szCs w:val="28"/>
        </w:rPr>
        <w:t>«Юкковское сельское поселение»</w:t>
      </w:r>
    </w:p>
    <w:p w14:paraId="2766023F" w14:textId="0F8DDCA9" w:rsidR="00976D2F" w:rsidRPr="0076509F" w:rsidRDefault="00976D2F" w:rsidP="00976D2F">
      <w:pPr>
        <w:jc w:val="right"/>
        <w:rPr>
          <w:rFonts w:ascii="Times New Roman" w:hAnsi="Times New Roman"/>
          <w:sz w:val="28"/>
          <w:szCs w:val="28"/>
          <w:u w:val="single"/>
        </w:rPr>
      </w:pPr>
      <w:r w:rsidRPr="004C1246">
        <w:rPr>
          <w:rFonts w:ascii="Times New Roman" w:hAnsi="Times New Roman"/>
          <w:sz w:val="28"/>
          <w:szCs w:val="28"/>
        </w:rPr>
        <w:t>от _</w:t>
      </w:r>
      <w:r w:rsidR="004C1246" w:rsidRPr="004C1246">
        <w:rPr>
          <w:rFonts w:ascii="Times New Roman" w:hAnsi="Times New Roman"/>
          <w:sz w:val="28"/>
          <w:szCs w:val="28"/>
          <w:u w:val="single"/>
        </w:rPr>
        <w:t>31.10.2023</w:t>
      </w:r>
      <w:r>
        <w:rPr>
          <w:rFonts w:ascii="Times New Roman" w:hAnsi="Times New Roman"/>
          <w:sz w:val="28"/>
          <w:szCs w:val="28"/>
          <w:u w:val="single"/>
        </w:rPr>
        <w:t xml:space="preserve"> </w:t>
      </w:r>
      <w:r>
        <w:rPr>
          <w:rFonts w:ascii="Times New Roman" w:hAnsi="Times New Roman"/>
          <w:sz w:val="28"/>
          <w:szCs w:val="28"/>
        </w:rPr>
        <w:t>№ __</w:t>
      </w:r>
      <w:r w:rsidR="004C1246" w:rsidRPr="004C1246">
        <w:rPr>
          <w:rFonts w:ascii="Times New Roman" w:hAnsi="Times New Roman"/>
          <w:sz w:val="28"/>
          <w:szCs w:val="28"/>
          <w:u w:val="single"/>
        </w:rPr>
        <w:t>346</w:t>
      </w:r>
      <w:r>
        <w:rPr>
          <w:rFonts w:ascii="Times New Roman" w:hAnsi="Times New Roman"/>
          <w:sz w:val="28"/>
          <w:szCs w:val="28"/>
        </w:rPr>
        <w:t>__</w:t>
      </w:r>
    </w:p>
    <w:p w14:paraId="2D0C0ECD" w14:textId="77777777" w:rsidR="00976D2F" w:rsidRDefault="00976D2F" w:rsidP="004D732A">
      <w:pPr>
        <w:pStyle w:val="1"/>
        <w:spacing w:after="300"/>
        <w:ind w:firstLine="0"/>
        <w:jc w:val="center"/>
        <w:rPr>
          <w:b/>
          <w:bCs/>
          <w:color w:val="000000"/>
          <w:lang w:eastAsia="ru-RU" w:bidi="ru-RU"/>
        </w:rPr>
      </w:pPr>
    </w:p>
    <w:p w14:paraId="739FC3D8" w14:textId="5B52878A" w:rsidR="004D732A" w:rsidRDefault="004D732A" w:rsidP="004D732A">
      <w:pPr>
        <w:pStyle w:val="1"/>
        <w:spacing w:after="300"/>
        <w:ind w:firstLine="0"/>
        <w:jc w:val="center"/>
      </w:pPr>
      <w:r>
        <w:rPr>
          <w:b/>
          <w:bCs/>
          <w:color w:val="000000"/>
          <w:lang w:eastAsia="ru-RU" w:bidi="ru-RU"/>
        </w:rPr>
        <w:t>Пояснительная записка</w:t>
      </w:r>
      <w:r>
        <w:rPr>
          <w:b/>
          <w:bCs/>
          <w:color w:val="000000"/>
          <w:lang w:eastAsia="ru-RU" w:bidi="ru-RU"/>
        </w:rPr>
        <w:br/>
        <w:t>к основным показателям социально-экономического развития</w:t>
      </w:r>
      <w:r>
        <w:rPr>
          <w:b/>
          <w:bCs/>
          <w:color w:val="000000"/>
          <w:lang w:eastAsia="ru-RU" w:bidi="ru-RU"/>
        </w:rPr>
        <w:br/>
        <w:t>муниципального образования «Юкковское сельское поселение» Всеволожского</w:t>
      </w:r>
      <w:r>
        <w:rPr>
          <w:b/>
          <w:bCs/>
          <w:color w:val="000000"/>
          <w:lang w:eastAsia="ru-RU" w:bidi="ru-RU"/>
        </w:rPr>
        <w:br/>
        <w:t>муниципального района Ленинградской области</w:t>
      </w:r>
      <w:r>
        <w:rPr>
          <w:b/>
          <w:bCs/>
          <w:color w:val="000000"/>
          <w:lang w:eastAsia="ru-RU" w:bidi="ru-RU"/>
        </w:rPr>
        <w:br/>
        <w:t>на 2024-2026 год</w:t>
      </w:r>
      <w:r w:rsidR="00DD6418">
        <w:rPr>
          <w:b/>
          <w:bCs/>
          <w:color w:val="000000"/>
          <w:lang w:eastAsia="ru-RU" w:bidi="ru-RU"/>
        </w:rPr>
        <w:t>ы</w:t>
      </w:r>
    </w:p>
    <w:p w14:paraId="53292B68" w14:textId="77777777" w:rsidR="004D732A" w:rsidRDefault="004D732A" w:rsidP="004D732A">
      <w:pPr>
        <w:pStyle w:val="20"/>
        <w:keepNext/>
        <w:keepLines/>
        <w:numPr>
          <w:ilvl w:val="0"/>
          <w:numId w:val="1"/>
        </w:numPr>
        <w:tabs>
          <w:tab w:val="left" w:pos="1382"/>
        </w:tabs>
        <w:spacing w:after="0"/>
        <w:jc w:val="both"/>
      </w:pPr>
      <w:bookmarkStart w:id="0" w:name="bookmark2"/>
      <w:r>
        <w:rPr>
          <w:color w:val="000000"/>
          <w:lang w:eastAsia="ru-RU" w:bidi="ru-RU"/>
        </w:rPr>
        <w:t>Общие положения</w:t>
      </w:r>
      <w:bookmarkEnd w:id="0"/>
    </w:p>
    <w:p w14:paraId="6D730B05" w14:textId="77777777" w:rsidR="004D732A" w:rsidRDefault="004D732A" w:rsidP="004D732A">
      <w:pPr>
        <w:pStyle w:val="1"/>
        <w:ind w:firstLine="720"/>
        <w:jc w:val="both"/>
      </w:pPr>
      <w:r>
        <w:rPr>
          <w:color w:val="000000"/>
          <w:lang w:eastAsia="ru-RU" w:bidi="ru-RU"/>
        </w:rPr>
        <w:t>Муниципальное образование «Юкковское сельское поселение» Всеволожского муниципального района Ленинградской области (далее также - МО «Юкковское сельское поселение») входит в состав Всеволожского муниципального района Ленинградской области.</w:t>
      </w:r>
    </w:p>
    <w:p w14:paraId="717AC1A3" w14:textId="77777777" w:rsidR="004D732A" w:rsidRDefault="004D732A" w:rsidP="004D732A">
      <w:pPr>
        <w:pStyle w:val="1"/>
        <w:ind w:firstLine="720"/>
        <w:jc w:val="both"/>
      </w:pPr>
      <w:r>
        <w:rPr>
          <w:color w:val="000000"/>
          <w:lang w:eastAsia="ru-RU" w:bidi="ru-RU"/>
        </w:rPr>
        <w:t>Развитие экономики муниципального образования в среднесрочной перспективе определяется внешними и внутренними условиями и факторами. Это состояние российской экономики, динамики цен на энергоресурсы, уровень инфляции, а также демографическая ситуация и ее развитие, инвестиционная привлекательность, наличие финансовых ресурсов и т.д.</w:t>
      </w:r>
    </w:p>
    <w:p w14:paraId="0D63901D" w14:textId="77777777" w:rsidR="004D732A" w:rsidRDefault="004D732A" w:rsidP="004D732A">
      <w:pPr>
        <w:pStyle w:val="1"/>
        <w:ind w:firstLine="720"/>
        <w:jc w:val="both"/>
      </w:pPr>
      <w:r>
        <w:rPr>
          <w:color w:val="000000"/>
          <w:lang w:eastAsia="ru-RU" w:bidi="ru-RU"/>
        </w:rPr>
        <w:t xml:space="preserve">Прогноз социально-экономического развития сельского поселения на среднесрочный период (далее - Прогноз) </w:t>
      </w:r>
      <w:proofErr w:type="gramStart"/>
      <w:r>
        <w:rPr>
          <w:color w:val="000000"/>
          <w:lang w:eastAsia="ru-RU" w:bidi="ru-RU"/>
        </w:rPr>
        <w:t>- это</w:t>
      </w:r>
      <w:proofErr w:type="gramEnd"/>
      <w:r>
        <w:rPr>
          <w:color w:val="000000"/>
          <w:lang w:eastAsia="ru-RU" w:bidi="ru-RU"/>
        </w:rPr>
        <w:t xml:space="preserve"> документ стратегического планирования, содержащий систему научно обоснованных представлений о направлениях и об ожидаемых результатах социально-экономического развития муниципального образования на среднесрочный период, а также оценка вероятного состояния социально-экономической ситуации в сельском поселении в прогнозируемом периоде.</w:t>
      </w:r>
    </w:p>
    <w:p w14:paraId="5112C19E" w14:textId="77777777" w:rsidR="004D732A" w:rsidRDefault="004D732A" w:rsidP="004D732A">
      <w:pPr>
        <w:pStyle w:val="1"/>
        <w:ind w:firstLine="720"/>
        <w:jc w:val="both"/>
      </w:pPr>
      <w:r>
        <w:rPr>
          <w:color w:val="000000"/>
          <w:lang w:eastAsia="ru-RU" w:bidi="ru-RU"/>
        </w:rPr>
        <w:t>Прогноз МО «Юкковское сельское поселение» на 2024 год и период до 2026 года разрабатывается в целях повышения эффективности управления социально- экономическими процессами в муниципальном образовании и подготовки материалов к бюджету МО «Юкковское сельское поселение» в соответствии со статьями 169, 172, 173 Бюджетного Кодекса РФ - является основой для составления проекта бюджета и документом, представляемым в представительный орган МО «Юкковское сельское поселение» одновременно с проектом решения о бюджете.</w:t>
      </w:r>
    </w:p>
    <w:p w14:paraId="579AB1A6" w14:textId="77777777" w:rsidR="004D732A" w:rsidRDefault="004D732A" w:rsidP="004D732A">
      <w:pPr>
        <w:pStyle w:val="1"/>
        <w:ind w:firstLine="720"/>
        <w:jc w:val="both"/>
      </w:pPr>
      <w:r>
        <w:rPr>
          <w:color w:val="000000"/>
          <w:lang w:eastAsia="ru-RU" w:bidi="ru-RU"/>
        </w:rPr>
        <w:t>В соответствие с п.5 ст. 173 Бюджетного кодекса Российской Федерации изменение Прогноза в ходе составления или рассмотрения проекта бюджета поселения влечет за собой изменение основных характеристик проекта бюджета.</w:t>
      </w:r>
    </w:p>
    <w:p w14:paraId="649E12AE" w14:textId="77777777" w:rsidR="004D732A" w:rsidRDefault="004D732A" w:rsidP="004D732A">
      <w:pPr>
        <w:pStyle w:val="1"/>
        <w:ind w:firstLine="720"/>
        <w:jc w:val="both"/>
      </w:pPr>
      <w:r>
        <w:rPr>
          <w:color w:val="000000"/>
          <w:lang w:eastAsia="ru-RU" w:bidi="ru-RU"/>
        </w:rPr>
        <w:t>Прогноз разрабатывается ежегодно в порядке, установленном органами местного самоуправления.</w:t>
      </w:r>
    </w:p>
    <w:p w14:paraId="1F3F9433" w14:textId="77777777" w:rsidR="004D732A" w:rsidRDefault="004D732A" w:rsidP="004D732A">
      <w:pPr>
        <w:pStyle w:val="1"/>
        <w:ind w:firstLine="720"/>
        <w:jc w:val="both"/>
      </w:pPr>
      <w:r>
        <w:rPr>
          <w:color w:val="000000"/>
          <w:lang w:eastAsia="ru-RU" w:bidi="ru-RU"/>
        </w:rPr>
        <w:t xml:space="preserve">В общем виде прогноз включает в себя таблицу с прогнозными значениями </w:t>
      </w:r>
      <w:r>
        <w:rPr>
          <w:color w:val="000000"/>
          <w:lang w:eastAsia="ru-RU" w:bidi="ru-RU"/>
        </w:rPr>
        <w:lastRenderedPageBreak/>
        <w:t xml:space="preserve">показателей социально-экономического развития поселения и </w:t>
      </w:r>
      <w:proofErr w:type="gramStart"/>
      <w:r>
        <w:rPr>
          <w:color w:val="000000"/>
          <w:lang w:eastAsia="ru-RU" w:bidi="ru-RU"/>
        </w:rPr>
        <w:t>пояснительную  записку</w:t>
      </w:r>
      <w:proofErr w:type="gramEnd"/>
      <w:r>
        <w:rPr>
          <w:color w:val="000000"/>
          <w:lang w:eastAsia="ru-RU" w:bidi="ru-RU"/>
        </w:rPr>
        <w:t xml:space="preserve"> к ним.</w:t>
      </w:r>
    </w:p>
    <w:p w14:paraId="65252D16" w14:textId="77777777" w:rsidR="004D732A" w:rsidRDefault="004D732A" w:rsidP="004D732A">
      <w:pPr>
        <w:pStyle w:val="1"/>
        <w:ind w:firstLine="720"/>
        <w:jc w:val="both"/>
      </w:pPr>
      <w:r>
        <w:rPr>
          <w:color w:val="000000"/>
          <w:lang w:eastAsia="ru-RU" w:bidi="ru-RU"/>
        </w:rPr>
        <w:t>Основные показатели Прогноза содержат следующую информацию: фактические показатели за 2022 год, оценку 2023 года (ожидаемые итоги социально- экономического развития за текущий финансовый год, основанные на итогах социально-экономического развития за полугодие текущего финансового года) и прогнозные показатели на 2024-2026 годы.</w:t>
      </w:r>
    </w:p>
    <w:p w14:paraId="5E3F868C" w14:textId="77777777" w:rsidR="004D732A" w:rsidRDefault="004D732A" w:rsidP="004D732A">
      <w:pPr>
        <w:pStyle w:val="1"/>
        <w:ind w:firstLine="720"/>
        <w:jc w:val="both"/>
      </w:pPr>
      <w:r>
        <w:rPr>
          <w:color w:val="000000"/>
          <w:lang w:eastAsia="ru-RU" w:bidi="ru-RU"/>
        </w:rPr>
        <w:t xml:space="preserve">Прогноз разработан по базовому варианту, который характеризует основные тенденции и параметры развития экономики поселения в условиях незначительных изменений внешних и внутренних условий с учетом сценарных условий функционирования экономики Российской Федерации и Ленинградской области. В настоящее время в связи с высокой волатильностью внешних и внутренних условий, вызванных введением антироссийских санкций отдельными европейскими государствами и США, развитие российской экономики в кратко и среднесрочной перспективе характеризуется </w:t>
      </w:r>
      <w:r>
        <w:rPr>
          <w:b/>
          <w:bCs/>
          <w:color w:val="000000"/>
          <w:lang w:eastAsia="ru-RU" w:bidi="ru-RU"/>
        </w:rPr>
        <w:t>высокой степенью неопределенности.</w:t>
      </w:r>
    </w:p>
    <w:p w14:paraId="461995BB" w14:textId="77777777" w:rsidR="004D732A" w:rsidRDefault="004D732A" w:rsidP="004D732A">
      <w:pPr>
        <w:pStyle w:val="1"/>
        <w:ind w:firstLine="720"/>
        <w:jc w:val="both"/>
      </w:pPr>
      <w:r>
        <w:rPr>
          <w:color w:val="000000"/>
          <w:lang w:eastAsia="ru-RU" w:bidi="ru-RU"/>
        </w:rPr>
        <w:t>При разработке основных параметров Прогноза использованы отчетные данные, предоставленные органом государственной статистики, ГКУ ЛО «Всеволожский центр занятости населения», комитета по образованию администрации Всеволожского муниципального района, а также сведения, представленные структурными подразделениями администрации МО «Юкковское сельское поселение».</w:t>
      </w:r>
    </w:p>
    <w:p w14:paraId="5E91FDD9" w14:textId="77777777" w:rsidR="004D732A" w:rsidRDefault="004D732A" w:rsidP="004D732A">
      <w:pPr>
        <w:pStyle w:val="1"/>
        <w:ind w:firstLine="720"/>
        <w:jc w:val="both"/>
      </w:pPr>
      <w:r>
        <w:rPr>
          <w:color w:val="000000"/>
          <w:lang w:eastAsia="ru-RU" w:bidi="ru-RU"/>
        </w:rPr>
        <w:t>Основной целью социально-экономического развития МО «Юкковское сельское поселение» на среднесрочную перспективу в рамках решения вопросов местного значения является: повышение комфортности и доступности жилья, улучшение качества городской среды; формирование высокотехнологичных, конкурентноспособных отраслей строительства жилищно- коммунального хозяйства; повышение энергоэффективности строящихся и существующих объектов капитального строительства и коммунальных систем; вовлечение в хозяйственный оборот ранее не задействованных для строительства земельных участков, повышение эффективности использования земельных участков, предназначенных для строительства; минимизация негативного воздействия строительной отрасли и жилищно-коммунального хозяйства на окружающую среду, повышение качества предоставляемых жилищно-коммунальных услуг по содержанию и обслуживанию общего имущества собственников жилых помещений, повышение качества муниципальных услуг в сферах культуры, молодежной политики, социального обеспечения, физической культуры и спорта, а также повышение безопасности жизнедеятельности людей, обеспечение повышения уровня и качества жизни населения и др.</w:t>
      </w:r>
    </w:p>
    <w:p w14:paraId="21C462A6" w14:textId="77777777" w:rsidR="004D732A" w:rsidRDefault="004D732A" w:rsidP="004D732A">
      <w:pPr>
        <w:pStyle w:val="1"/>
        <w:spacing w:after="640"/>
        <w:ind w:firstLine="720"/>
        <w:jc w:val="both"/>
      </w:pPr>
      <w:r>
        <w:rPr>
          <w:color w:val="000000"/>
          <w:lang w:eastAsia="ru-RU" w:bidi="ru-RU"/>
        </w:rPr>
        <w:t xml:space="preserve">Прогнозные показатели подготовлены на базе статистических данных за 2022 год </w:t>
      </w:r>
      <w:proofErr w:type="spellStart"/>
      <w:r>
        <w:rPr>
          <w:color w:val="000000"/>
          <w:lang w:eastAsia="ru-RU" w:bidi="ru-RU"/>
        </w:rPr>
        <w:t>Петростата</w:t>
      </w:r>
      <w:proofErr w:type="spellEnd"/>
      <w:r>
        <w:rPr>
          <w:color w:val="000000"/>
          <w:lang w:eastAsia="ru-RU" w:bidi="ru-RU"/>
        </w:rPr>
        <w:t xml:space="preserve"> из раздела «Основные показатели социально-экономического положения муниципальных образований» по Ленинградской области </w:t>
      </w:r>
      <w:r w:rsidRPr="001A662B">
        <w:rPr>
          <w:color w:val="000000"/>
          <w:lang w:bidi="en-US"/>
        </w:rPr>
        <w:t>(</w:t>
      </w:r>
      <w:hyperlink r:id="rId5" w:history="1">
        <w:r>
          <w:rPr>
            <w:color w:val="000000"/>
            <w:lang w:val="en-US" w:bidi="en-US"/>
          </w:rPr>
          <w:t>https</w:t>
        </w:r>
        <w:r w:rsidRPr="001A662B">
          <w:rPr>
            <w:color w:val="000000"/>
            <w:lang w:bidi="en-US"/>
          </w:rPr>
          <w:t>://</w:t>
        </w:r>
        <w:proofErr w:type="spellStart"/>
        <w:r>
          <w:rPr>
            <w:color w:val="000000"/>
            <w:lang w:val="en-US" w:bidi="en-US"/>
          </w:rPr>
          <w:t>petrostat</w:t>
        </w:r>
        <w:proofErr w:type="spellEnd"/>
        <w:r w:rsidRPr="001A662B">
          <w:rPr>
            <w:color w:val="000000"/>
            <w:lang w:bidi="en-US"/>
          </w:rPr>
          <w:t>.</w:t>
        </w:r>
        <w:proofErr w:type="spellStart"/>
        <w:r>
          <w:rPr>
            <w:color w:val="000000"/>
            <w:lang w:val="en-US" w:bidi="en-US"/>
          </w:rPr>
          <w:t>gks</w:t>
        </w:r>
        <w:proofErr w:type="spellEnd"/>
        <w:r w:rsidRPr="001A662B">
          <w:rPr>
            <w:color w:val="000000"/>
            <w:lang w:bidi="en-US"/>
          </w:rPr>
          <w:t>.</w:t>
        </w:r>
        <w:proofErr w:type="spellStart"/>
        <w:r>
          <w:rPr>
            <w:color w:val="000000"/>
            <w:lang w:val="en-US" w:bidi="en-US"/>
          </w:rPr>
          <w:t>ru</w:t>
        </w:r>
        <w:proofErr w:type="spellEnd"/>
        <w:r w:rsidRPr="001A662B">
          <w:rPr>
            <w:color w:val="000000"/>
            <w:lang w:bidi="en-US"/>
          </w:rPr>
          <w:t>/</w:t>
        </w:r>
        <w:r>
          <w:rPr>
            <w:color w:val="000000"/>
            <w:lang w:val="en-US" w:bidi="en-US"/>
          </w:rPr>
          <w:t>main</w:t>
        </w:r>
        <w:r w:rsidRPr="001A662B">
          <w:rPr>
            <w:color w:val="000000"/>
            <w:lang w:bidi="en-US"/>
          </w:rPr>
          <w:t>_</w:t>
        </w:r>
        <w:r>
          <w:rPr>
            <w:color w:val="000000"/>
            <w:lang w:val="en-US" w:bidi="en-US"/>
          </w:rPr>
          <w:t>indicators</w:t>
        </w:r>
      </w:hyperlink>
      <w:r w:rsidRPr="001A662B">
        <w:rPr>
          <w:color w:val="000000"/>
          <w:lang w:bidi="en-US"/>
        </w:rPr>
        <w:t>).</w:t>
      </w:r>
    </w:p>
    <w:p w14:paraId="0609349A" w14:textId="77777777" w:rsidR="004D732A" w:rsidRDefault="004D732A" w:rsidP="004D732A">
      <w:pPr>
        <w:pStyle w:val="1"/>
        <w:numPr>
          <w:ilvl w:val="0"/>
          <w:numId w:val="1"/>
        </w:numPr>
        <w:tabs>
          <w:tab w:val="left" w:pos="1426"/>
        </w:tabs>
        <w:spacing w:line="259" w:lineRule="auto"/>
        <w:ind w:firstLine="720"/>
        <w:jc w:val="both"/>
      </w:pPr>
      <w:r>
        <w:rPr>
          <w:b/>
          <w:bCs/>
          <w:color w:val="000000"/>
          <w:lang w:eastAsia="ru-RU" w:bidi="ru-RU"/>
        </w:rPr>
        <w:t xml:space="preserve">Прогноз социально-экономического развития отдельных отраслей </w:t>
      </w:r>
      <w:r>
        <w:rPr>
          <w:b/>
          <w:bCs/>
          <w:color w:val="000000"/>
          <w:lang w:eastAsia="ru-RU" w:bidi="ru-RU"/>
        </w:rPr>
        <w:lastRenderedPageBreak/>
        <w:t>экономики и социальной сферы</w:t>
      </w:r>
    </w:p>
    <w:p w14:paraId="2A33B790" w14:textId="77777777" w:rsidR="004D732A" w:rsidRDefault="004D732A" w:rsidP="004D732A">
      <w:pPr>
        <w:pStyle w:val="1"/>
        <w:numPr>
          <w:ilvl w:val="1"/>
          <w:numId w:val="1"/>
        </w:numPr>
        <w:tabs>
          <w:tab w:val="left" w:pos="1426"/>
        </w:tabs>
        <w:spacing w:after="300" w:line="259" w:lineRule="auto"/>
        <w:ind w:firstLine="720"/>
        <w:jc w:val="both"/>
      </w:pPr>
      <w:r>
        <w:rPr>
          <w:b/>
          <w:bCs/>
          <w:color w:val="000000"/>
          <w:lang w:eastAsia="ru-RU" w:bidi="ru-RU"/>
        </w:rPr>
        <w:t>Блок показателей «I. Демографические показатели»</w:t>
      </w:r>
    </w:p>
    <w:p w14:paraId="1D15CAF5" w14:textId="77777777" w:rsidR="004D732A" w:rsidRDefault="004D732A" w:rsidP="004D732A">
      <w:pPr>
        <w:pStyle w:val="1"/>
        <w:ind w:firstLine="720"/>
        <w:jc w:val="both"/>
      </w:pPr>
      <w:r>
        <w:rPr>
          <w:color w:val="000000"/>
          <w:lang w:eastAsia="ru-RU" w:bidi="ru-RU"/>
        </w:rPr>
        <w:t>Основной тенденцией прогноза демографической сферы остается сохранение прироста населения в 2023 году и достижение прироста населения в 2024-2026 гг.</w:t>
      </w:r>
    </w:p>
    <w:p w14:paraId="6817E2F5" w14:textId="77777777" w:rsidR="004D732A" w:rsidRDefault="004D732A" w:rsidP="004D732A">
      <w:pPr>
        <w:pStyle w:val="1"/>
        <w:ind w:firstLine="720"/>
        <w:jc w:val="both"/>
      </w:pPr>
      <w:r>
        <w:rPr>
          <w:b/>
          <w:bCs/>
          <w:color w:val="000000"/>
          <w:lang w:eastAsia="ru-RU" w:bidi="ru-RU"/>
        </w:rPr>
        <w:t xml:space="preserve">В 2022 году </w:t>
      </w:r>
      <w:r>
        <w:rPr>
          <w:color w:val="000000"/>
          <w:lang w:eastAsia="ru-RU" w:bidi="ru-RU"/>
        </w:rPr>
        <w:t>среднегодовая численность постоянного населения в МО «Юкковское сельское поселение» составила 5217,5 человек.</w:t>
      </w:r>
    </w:p>
    <w:p w14:paraId="776AB58E" w14:textId="77777777" w:rsidR="004D732A" w:rsidRDefault="004D732A" w:rsidP="004D732A">
      <w:pPr>
        <w:pStyle w:val="1"/>
        <w:ind w:firstLine="720"/>
        <w:jc w:val="both"/>
      </w:pPr>
      <w:r>
        <w:rPr>
          <w:color w:val="000000"/>
          <w:lang w:eastAsia="ru-RU" w:bidi="ru-RU"/>
        </w:rPr>
        <w:t>Численность постоянного населения МО «Юкковское сельское поселение» на 1 января 2023 года составила 5388 человек и с начала 2022 года увеличилась на 341 человека или на 6,8%.</w:t>
      </w:r>
    </w:p>
    <w:p w14:paraId="53C3FFA5" w14:textId="77777777" w:rsidR="004D732A" w:rsidRDefault="004D732A" w:rsidP="004D732A">
      <w:pPr>
        <w:pStyle w:val="1"/>
        <w:ind w:firstLine="720"/>
        <w:jc w:val="both"/>
      </w:pPr>
      <w:r>
        <w:rPr>
          <w:color w:val="000000"/>
          <w:lang w:eastAsia="ru-RU" w:bidi="ru-RU"/>
        </w:rPr>
        <w:t>Родилось 19 детей. Коэффициент рождаемости составил 3,6 человек на 1000 населения.</w:t>
      </w:r>
    </w:p>
    <w:p w14:paraId="21334EE9" w14:textId="77777777" w:rsidR="004D732A" w:rsidRDefault="004D732A" w:rsidP="004D732A">
      <w:pPr>
        <w:pStyle w:val="1"/>
        <w:spacing w:line="240" w:lineRule="auto"/>
        <w:ind w:firstLine="740"/>
        <w:jc w:val="both"/>
      </w:pPr>
      <w:r>
        <w:rPr>
          <w:color w:val="000000"/>
          <w:lang w:eastAsia="ru-RU" w:bidi="ru-RU"/>
        </w:rPr>
        <w:t>Умерло 22 человека. Коэффициент смертности составил 4,2 человек на 1000 населения.</w:t>
      </w:r>
    </w:p>
    <w:p w14:paraId="4866FEAF" w14:textId="77777777" w:rsidR="004D732A" w:rsidRDefault="004D732A" w:rsidP="004D732A">
      <w:pPr>
        <w:pStyle w:val="1"/>
        <w:spacing w:line="240" w:lineRule="auto"/>
        <w:ind w:firstLine="740"/>
        <w:jc w:val="both"/>
      </w:pPr>
      <w:r>
        <w:rPr>
          <w:color w:val="000000"/>
          <w:lang w:eastAsia="ru-RU" w:bidi="ru-RU"/>
        </w:rPr>
        <w:t>Коэффициент естественной убыли населения составил 0,6 человек на 1000 населения.</w:t>
      </w:r>
    </w:p>
    <w:p w14:paraId="324568B3" w14:textId="77777777" w:rsidR="004D732A" w:rsidRDefault="004D732A" w:rsidP="004D732A">
      <w:pPr>
        <w:pStyle w:val="1"/>
        <w:spacing w:line="252" w:lineRule="auto"/>
        <w:ind w:firstLine="740"/>
        <w:jc w:val="both"/>
      </w:pPr>
      <w:r>
        <w:rPr>
          <w:color w:val="000000"/>
          <w:lang w:eastAsia="ru-RU" w:bidi="ru-RU"/>
        </w:rPr>
        <w:t>Рост численности населения в 2022 году произошел за счет миграционного прироста. Миграционный прирост полностью компенсировал естественную убыль населения и превысил ее на 65,9%.</w:t>
      </w:r>
    </w:p>
    <w:p w14:paraId="2BCE6ECC" w14:textId="77777777" w:rsidR="004D732A" w:rsidRDefault="004D732A" w:rsidP="004D732A">
      <w:pPr>
        <w:pStyle w:val="1"/>
        <w:ind w:firstLine="740"/>
        <w:jc w:val="both"/>
      </w:pPr>
      <w:r>
        <w:rPr>
          <w:color w:val="000000"/>
          <w:lang w:eastAsia="ru-RU" w:bidi="ru-RU"/>
        </w:rPr>
        <w:t xml:space="preserve">По оценке </w:t>
      </w:r>
      <w:r>
        <w:rPr>
          <w:b/>
          <w:bCs/>
          <w:color w:val="000000"/>
          <w:lang w:eastAsia="ru-RU" w:bidi="ru-RU"/>
        </w:rPr>
        <w:t xml:space="preserve">в 2023 году </w:t>
      </w:r>
      <w:r>
        <w:rPr>
          <w:color w:val="000000"/>
          <w:lang w:eastAsia="ru-RU" w:bidi="ru-RU"/>
        </w:rPr>
        <w:t>среднегодовая численность постоянного населения в МО «Юкковское сельское поселение» увеличится по сравнению с 2022 годом на 3,9% и составит 5419,5 человек.</w:t>
      </w:r>
    </w:p>
    <w:p w14:paraId="297D64CC" w14:textId="77777777" w:rsidR="004D732A" w:rsidRDefault="004D732A" w:rsidP="004D732A">
      <w:pPr>
        <w:pStyle w:val="1"/>
        <w:ind w:firstLine="740"/>
        <w:jc w:val="both"/>
      </w:pPr>
      <w:r>
        <w:rPr>
          <w:color w:val="000000"/>
          <w:lang w:eastAsia="ru-RU" w:bidi="ru-RU"/>
        </w:rPr>
        <w:t>Уровень естественной убыли снизился до 1,1 чел. на 1000 населения (2022 год – 0,6 чел.), при снижении уровня рождаемости до 1,1 родившихся на 1000 населения и снижении уровня смертности до 2,2 умерших на 1000 населения.</w:t>
      </w:r>
    </w:p>
    <w:p w14:paraId="4A90B409" w14:textId="77777777" w:rsidR="004D732A" w:rsidRDefault="004D732A" w:rsidP="004D732A">
      <w:pPr>
        <w:pStyle w:val="1"/>
        <w:ind w:firstLine="740"/>
        <w:jc w:val="both"/>
      </w:pPr>
      <w:r>
        <w:rPr>
          <w:color w:val="000000"/>
          <w:lang w:eastAsia="ru-RU" w:bidi="ru-RU"/>
        </w:rPr>
        <w:t>Интенсивность миграционного прироста снизится до 12,7 человек на фоне сложной геополитической обстановки, трудностей с переводом денежных средств в валюте за пределы Российской Федерации. С учетом того, что в МО «Юкковское сельское поселение» не планируется введение в эксплуатацию новых жилых комплексов, то миграционный прирост по сравнению с 2022 годом упадет. Миграционный прирост будет перекрывать естественную убыль населения за счет сохранения притока населения из других регионов России и снижения притока мигрантов из стран СНГ и Зарубежья в связи с продолжением действия международных санкций.</w:t>
      </w:r>
    </w:p>
    <w:p w14:paraId="2C579383" w14:textId="77777777" w:rsidR="004D732A" w:rsidRDefault="004D732A" w:rsidP="004D732A">
      <w:pPr>
        <w:pStyle w:val="1"/>
        <w:ind w:firstLine="740"/>
        <w:jc w:val="both"/>
      </w:pPr>
      <w:r>
        <w:rPr>
          <w:b/>
          <w:bCs/>
          <w:color w:val="000000"/>
          <w:lang w:eastAsia="ru-RU" w:bidi="ru-RU"/>
        </w:rPr>
        <w:t xml:space="preserve">В 2024-2026 годах </w:t>
      </w:r>
      <w:r>
        <w:rPr>
          <w:color w:val="000000"/>
          <w:lang w:eastAsia="ru-RU" w:bidi="ru-RU"/>
        </w:rPr>
        <w:t>в результате реализации запланированных мероприятий демографической политики прогнозируется постепенное сокращение коэффициента естественной убыли населения с 6,3 человек на 1000 населения в 2024 году до 6,0 человек на 1000 населения в 2026 году. При этом динамика коэффициента рождаемости сохранит тенденцию к незначительному увеличению с 1,5 человек на 1000 населения в 2024 году до 1,8 чел. на 1000 населения в 2026 году. Миграционный прирост также сохранит тенденцию к незначительному увеличению с 13,5 чел. на 1000 населения в 2024 году до 14,9 человек на 1000 населения в 2026 году.</w:t>
      </w:r>
    </w:p>
    <w:p w14:paraId="36C2E50D" w14:textId="77777777" w:rsidR="004D732A" w:rsidRDefault="004D732A" w:rsidP="004D732A">
      <w:pPr>
        <w:pStyle w:val="1"/>
        <w:ind w:firstLine="740"/>
        <w:jc w:val="both"/>
      </w:pPr>
      <w:r>
        <w:rPr>
          <w:color w:val="000000"/>
          <w:lang w:eastAsia="ru-RU" w:bidi="ru-RU"/>
        </w:rPr>
        <w:t xml:space="preserve">Тенденция постепенного увеличения общего коэффициента рождаемости связана с миграционным приростом населения в МО «Юкковское сельское поселение», хотя в целом в Ленинградской области и в целом в Российской </w:t>
      </w:r>
      <w:r>
        <w:rPr>
          <w:color w:val="000000"/>
          <w:lang w:eastAsia="ru-RU" w:bidi="ru-RU"/>
        </w:rPr>
        <w:lastRenderedPageBreak/>
        <w:t>Федерации наблюдается тенденция к уменьшению числа рождаемости из-за спада рождаемости в 1990-х годах, в том числе уменьшение числа женщин в возрастах наибольшей рождаемости (20-29 лет). Также учитывается региональные особенности формирования статистической отчетности по территориальному признаку, а именно: родоразрешение значительного числа женщин - жителей Ленинградской области и регистрация рожденных детей на территории Санкт-Петербурга.</w:t>
      </w:r>
    </w:p>
    <w:p w14:paraId="6DDA031B" w14:textId="77777777" w:rsidR="004D732A" w:rsidRDefault="004D732A" w:rsidP="004D732A">
      <w:pPr>
        <w:pStyle w:val="1"/>
        <w:ind w:firstLine="740"/>
        <w:jc w:val="both"/>
      </w:pPr>
      <w:r>
        <w:rPr>
          <w:color w:val="000000"/>
          <w:lang w:eastAsia="ru-RU" w:bidi="ru-RU"/>
        </w:rPr>
        <w:t>Важнейшей задачей для МО «Юкковское сельское поселение» по-прежнему остается улучшение демографической ситуации за счет снижения смертности, ввиду чего продолжается реализация мероприятий, направленных на усиление социальной защищенности отдельных категорий граждан, а также мероприятий, направленных на вовлечение старшего поколения в процессы активного долголетия и увеличение ожидаемой продолжительности здоровой жизни.</w:t>
      </w:r>
    </w:p>
    <w:p w14:paraId="5FB6056A" w14:textId="77777777" w:rsidR="004D732A" w:rsidRDefault="004D732A" w:rsidP="004D732A">
      <w:pPr>
        <w:pStyle w:val="1"/>
        <w:spacing w:after="320"/>
        <w:ind w:firstLine="720"/>
        <w:jc w:val="both"/>
      </w:pPr>
      <w:r>
        <w:rPr>
          <w:color w:val="000000"/>
          <w:lang w:eastAsia="ru-RU" w:bidi="ru-RU"/>
        </w:rPr>
        <w:t>Значительного увеличения численности населения МО «Юкковское сельское поселение» не прогнозируется. В МО «Юкковское сельское поселение» ожидается рост численности населения в 2024-2026 годах, на 2,7</w:t>
      </w:r>
      <w:proofErr w:type="gramStart"/>
      <w:r>
        <w:rPr>
          <w:color w:val="000000"/>
          <w:lang w:eastAsia="ru-RU" w:bidi="ru-RU"/>
        </w:rPr>
        <w:t>%  с</w:t>
      </w:r>
      <w:proofErr w:type="gramEnd"/>
      <w:r>
        <w:rPr>
          <w:color w:val="000000"/>
          <w:lang w:eastAsia="ru-RU" w:bidi="ru-RU"/>
        </w:rPr>
        <w:t xml:space="preserve"> 5451 человек в 2024 году до 5597 человек в 2026 году.</w:t>
      </w:r>
    </w:p>
    <w:p w14:paraId="64FA8ED8" w14:textId="77777777" w:rsidR="004D732A" w:rsidRDefault="004D732A" w:rsidP="004D732A">
      <w:pPr>
        <w:pStyle w:val="20"/>
        <w:keepNext/>
        <w:keepLines/>
        <w:numPr>
          <w:ilvl w:val="1"/>
          <w:numId w:val="1"/>
        </w:numPr>
        <w:tabs>
          <w:tab w:val="left" w:pos="1435"/>
        </w:tabs>
        <w:spacing w:after="320"/>
        <w:jc w:val="both"/>
      </w:pPr>
      <w:bookmarkStart w:id="1" w:name="bookmark4"/>
      <w:r>
        <w:rPr>
          <w:color w:val="000000"/>
          <w:lang w:eastAsia="ru-RU" w:bidi="ru-RU"/>
        </w:rPr>
        <w:t>Блок показателей «II. Промышленное производство»</w:t>
      </w:r>
      <w:bookmarkEnd w:id="1"/>
    </w:p>
    <w:p w14:paraId="7B46DE6A" w14:textId="77777777" w:rsidR="004D732A" w:rsidRDefault="004D732A" w:rsidP="004D732A">
      <w:pPr>
        <w:pStyle w:val="1"/>
        <w:ind w:firstLine="720"/>
        <w:jc w:val="both"/>
      </w:pPr>
      <w:r>
        <w:rPr>
          <w:color w:val="000000"/>
          <w:lang w:eastAsia="ru-RU" w:bidi="ru-RU"/>
        </w:rPr>
        <w:t>Промышленность - основная отрасль, определяющая уровень экономического развития муниципального образования, от состояния и эффективности работы которой, напрямую зависит развитие социальной сферы.</w:t>
      </w:r>
    </w:p>
    <w:p w14:paraId="68CF8290" w14:textId="77777777" w:rsidR="004D732A" w:rsidRDefault="004D732A" w:rsidP="004D732A">
      <w:pPr>
        <w:pStyle w:val="1"/>
        <w:ind w:firstLine="720"/>
        <w:jc w:val="both"/>
      </w:pPr>
      <w:r>
        <w:rPr>
          <w:color w:val="000000"/>
          <w:lang w:eastAsia="ru-RU" w:bidi="ru-RU"/>
        </w:rPr>
        <w:t>Объем отгруженных товаров представляет собой стоимость тех товаров, которые произведены юридическим лицом и фактически отгружены (переданы) им в отчетном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счет продавца или нет.</w:t>
      </w:r>
    </w:p>
    <w:p w14:paraId="7BD0CA77" w14:textId="77777777" w:rsidR="004D732A" w:rsidRDefault="004D732A" w:rsidP="004D732A">
      <w:pPr>
        <w:pStyle w:val="1"/>
        <w:spacing w:after="320"/>
        <w:ind w:firstLine="720"/>
        <w:jc w:val="both"/>
      </w:pPr>
      <w:r>
        <w:rPr>
          <w:color w:val="000000"/>
          <w:lang w:eastAsia="ru-RU" w:bidi="ru-RU"/>
        </w:rPr>
        <w:t>Статистической информации о фактическом объеме отгруженных товаров собственного производства, выполненных работ и услуг собственными силами (без субъектов малого предпринимательства) за 2022 год не имеется.</w:t>
      </w:r>
    </w:p>
    <w:p w14:paraId="13F4369D" w14:textId="77777777" w:rsidR="004D732A" w:rsidRDefault="004D732A" w:rsidP="004D732A">
      <w:pPr>
        <w:pStyle w:val="20"/>
        <w:keepNext/>
        <w:keepLines/>
        <w:numPr>
          <w:ilvl w:val="1"/>
          <w:numId w:val="1"/>
        </w:numPr>
        <w:tabs>
          <w:tab w:val="left" w:pos="1435"/>
        </w:tabs>
        <w:spacing w:after="320" w:line="240" w:lineRule="auto"/>
        <w:jc w:val="both"/>
      </w:pPr>
      <w:bookmarkStart w:id="2" w:name="bookmark6"/>
      <w:r>
        <w:rPr>
          <w:color w:val="000000"/>
          <w:lang w:eastAsia="ru-RU" w:bidi="ru-RU"/>
        </w:rPr>
        <w:t>Блок показателей «III. Сельское хозяйство»</w:t>
      </w:r>
      <w:bookmarkEnd w:id="2"/>
    </w:p>
    <w:p w14:paraId="1ADFD06C" w14:textId="77777777" w:rsidR="004D732A" w:rsidRDefault="004D732A" w:rsidP="004D732A">
      <w:pPr>
        <w:pStyle w:val="1"/>
        <w:spacing w:line="262" w:lineRule="auto"/>
        <w:ind w:firstLine="720"/>
        <w:jc w:val="both"/>
      </w:pPr>
      <w:r>
        <w:rPr>
          <w:b/>
          <w:bCs/>
          <w:color w:val="000000"/>
          <w:lang w:eastAsia="ru-RU" w:bidi="ru-RU"/>
        </w:rPr>
        <w:t xml:space="preserve">Продукция сельского хозяйства </w:t>
      </w:r>
      <w:r>
        <w:rPr>
          <w:color w:val="000000"/>
          <w:lang w:eastAsia="ru-RU" w:bidi="ru-RU"/>
        </w:rPr>
        <w:t>представляет собой сумму данных об объеме продукции растениеводства и животноводства всех сельхозпроизводителей, в стоимостной оценке по фактически действовавшим ценам.</w:t>
      </w:r>
    </w:p>
    <w:p w14:paraId="174B793B" w14:textId="77777777" w:rsidR="004D732A" w:rsidRDefault="004D732A" w:rsidP="004D732A">
      <w:pPr>
        <w:pStyle w:val="1"/>
        <w:spacing w:after="320" w:line="262" w:lineRule="auto"/>
        <w:ind w:firstLine="720"/>
        <w:jc w:val="both"/>
      </w:pPr>
      <w:r>
        <w:rPr>
          <w:b/>
          <w:bCs/>
          <w:color w:val="000000"/>
          <w:lang w:eastAsia="ru-RU" w:bidi="ru-RU"/>
        </w:rPr>
        <w:t xml:space="preserve">Продукция растениеводства </w:t>
      </w:r>
      <w:r>
        <w:rPr>
          <w:color w:val="000000"/>
          <w:lang w:eastAsia="ru-RU" w:bidi="ru-RU"/>
        </w:rPr>
        <w:t>включает стоимость сырых продуктов, полученных от урожая отчетного года, и изменение стоимости незавершенного производства в растениеводстве (посадка и выращивание до плодоношения сельскохозяйственных культур и многолетних насаждений) от начала к концу отчетного года.</w:t>
      </w:r>
    </w:p>
    <w:p w14:paraId="4576968A" w14:textId="77777777" w:rsidR="004D732A" w:rsidRDefault="004D732A" w:rsidP="004D732A">
      <w:pPr>
        <w:pStyle w:val="1"/>
        <w:spacing w:after="40" w:line="240" w:lineRule="auto"/>
        <w:ind w:firstLine="740"/>
        <w:jc w:val="both"/>
      </w:pPr>
      <w:r>
        <w:rPr>
          <w:b/>
          <w:bCs/>
          <w:color w:val="000000"/>
          <w:lang w:eastAsia="ru-RU" w:bidi="ru-RU"/>
        </w:rPr>
        <w:t xml:space="preserve">Продукция животноводства </w:t>
      </w:r>
      <w:r>
        <w:rPr>
          <w:color w:val="000000"/>
          <w:lang w:eastAsia="ru-RU" w:bidi="ru-RU"/>
        </w:rPr>
        <w:t xml:space="preserve">включает стоимость продукции, полученной в результате выращивания и хозяйственного использования сельскохозяйственных </w:t>
      </w:r>
      <w:r>
        <w:rPr>
          <w:color w:val="000000"/>
          <w:lang w:eastAsia="ru-RU" w:bidi="ru-RU"/>
        </w:rPr>
        <w:lastRenderedPageBreak/>
        <w:t>животных и птицы.</w:t>
      </w:r>
    </w:p>
    <w:p w14:paraId="7179F842" w14:textId="77777777" w:rsidR="004D732A" w:rsidRDefault="004D732A" w:rsidP="004D732A">
      <w:pPr>
        <w:pStyle w:val="1"/>
        <w:spacing w:after="40" w:line="252" w:lineRule="auto"/>
        <w:ind w:firstLine="740"/>
        <w:jc w:val="both"/>
      </w:pPr>
      <w:r>
        <w:rPr>
          <w:color w:val="000000"/>
          <w:lang w:eastAsia="ru-RU" w:bidi="ru-RU"/>
        </w:rPr>
        <w:t>Информации по показателям «Продукция сельского хозяйства, тыс. руб.», «Продукция растениеводства, тыс. руб.» и «Продукция животноводства, тыс. руб.» в статистической информации нет. В прогнозе на 2023-2025 года также таких показателей нет.</w:t>
      </w:r>
    </w:p>
    <w:p w14:paraId="6F35EACB" w14:textId="77777777" w:rsidR="004D732A" w:rsidRDefault="004D732A" w:rsidP="004D732A">
      <w:pPr>
        <w:pStyle w:val="1"/>
        <w:spacing w:after="320" w:line="240" w:lineRule="auto"/>
        <w:ind w:firstLine="740"/>
        <w:jc w:val="both"/>
      </w:pPr>
      <w:r>
        <w:rPr>
          <w:color w:val="000000"/>
          <w:lang w:eastAsia="ru-RU" w:bidi="ru-RU"/>
        </w:rPr>
        <w:t>Произвести оценку на 2023 год и сделать прогноз на 2024-2026 год не представляется возможным.</w:t>
      </w:r>
    </w:p>
    <w:p w14:paraId="027D6077" w14:textId="77777777" w:rsidR="004D732A" w:rsidRDefault="004D732A" w:rsidP="004D732A">
      <w:pPr>
        <w:pStyle w:val="20"/>
        <w:keepNext/>
        <w:keepLines/>
        <w:numPr>
          <w:ilvl w:val="1"/>
          <w:numId w:val="1"/>
        </w:numPr>
        <w:tabs>
          <w:tab w:val="left" w:pos="1455"/>
        </w:tabs>
        <w:spacing w:after="320"/>
        <w:ind w:firstLine="740"/>
        <w:jc w:val="both"/>
      </w:pPr>
      <w:bookmarkStart w:id="3" w:name="bookmark8"/>
      <w:r>
        <w:rPr>
          <w:color w:val="000000"/>
          <w:lang w:eastAsia="ru-RU" w:bidi="ru-RU"/>
        </w:rPr>
        <w:t>Блок показателей «IV. Строительство»</w:t>
      </w:r>
      <w:bookmarkEnd w:id="3"/>
    </w:p>
    <w:p w14:paraId="1EEA6C4E" w14:textId="77777777" w:rsidR="004D732A" w:rsidRDefault="004D732A" w:rsidP="004D732A">
      <w:pPr>
        <w:pStyle w:val="1"/>
        <w:ind w:firstLine="740"/>
        <w:jc w:val="both"/>
      </w:pPr>
      <w:r>
        <w:rPr>
          <w:color w:val="000000"/>
          <w:lang w:eastAsia="ru-RU" w:bidi="ru-RU"/>
        </w:rPr>
        <w:t xml:space="preserve">Общая площадь </w:t>
      </w:r>
      <w:r>
        <w:rPr>
          <w:b/>
          <w:bCs/>
          <w:color w:val="000000"/>
          <w:lang w:eastAsia="ru-RU" w:bidi="ru-RU"/>
        </w:rPr>
        <w:t xml:space="preserve">введенных жилых помещений </w:t>
      </w:r>
      <w:r>
        <w:rPr>
          <w:color w:val="000000"/>
          <w:lang w:eastAsia="ru-RU" w:bidi="ru-RU"/>
        </w:rPr>
        <w:t>определяется как сумма площадей 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вспомогательных помещений в индивидуальных жилых домах. К помещениям вспомогательного использования относятся кухни, передние, холлы, внутриквартирные коридоры, ванные или душевые,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14:paraId="2249B339" w14:textId="77777777" w:rsidR="004D732A" w:rsidRDefault="004D732A" w:rsidP="004D732A">
      <w:pPr>
        <w:pStyle w:val="1"/>
        <w:ind w:firstLine="740"/>
        <w:jc w:val="both"/>
      </w:pPr>
      <w:r>
        <w:rPr>
          <w:color w:val="000000"/>
          <w:lang w:eastAsia="ru-RU" w:bidi="ru-RU"/>
        </w:rPr>
        <w:t>В общую площадь введенных жилых домов не входит площадь вестибюлей, тамбуров, лестничных клеток, лифтовых холлов, общих коридоров, а также площадь в жилых домах, предназначенная для встроенно-пристроенных помещений. В индивидуальных жилых домах, построенных населением, площади балконов, лоджий, веранд и террас в общую площадь жилых помещений не включаются.</w:t>
      </w:r>
    </w:p>
    <w:p w14:paraId="006D55BF" w14:textId="77777777" w:rsidR="004D732A" w:rsidRDefault="004D732A" w:rsidP="004D732A">
      <w:pPr>
        <w:pStyle w:val="1"/>
        <w:ind w:firstLine="740"/>
        <w:jc w:val="both"/>
      </w:pPr>
      <w:r>
        <w:rPr>
          <w:color w:val="000000"/>
          <w:lang w:eastAsia="ru-RU" w:bidi="ru-RU"/>
        </w:rPr>
        <w:t>Ввод в действие объектов в формах статистического наблюдения отражается после ввода их в эксплуатацию в размерах, указанных в разрешениях на ввод объектов в эксплуатацию, оформленных в установленном порядке в соответствии с действующим законодательством Российской Федерации о градостроительной деятельности.</w:t>
      </w:r>
    </w:p>
    <w:p w14:paraId="7D7F3129" w14:textId="77777777" w:rsidR="004D732A" w:rsidRDefault="004D732A" w:rsidP="004D732A">
      <w:pPr>
        <w:pStyle w:val="1"/>
        <w:spacing w:after="180"/>
        <w:ind w:firstLine="740"/>
        <w:jc w:val="both"/>
      </w:pPr>
      <w:r>
        <w:rPr>
          <w:color w:val="000000"/>
          <w:lang w:eastAsia="ru-RU" w:bidi="ru-RU"/>
        </w:rPr>
        <w:t>По статистическим данным за 2022 год жилых домов на территории МО «Юкковское сельское поселение» в действие не вводилось. В текущем году и плановом периоде не планируется введение в действие крупных жилищных комплексов на территории МО «Юкковское сельское поселение».</w:t>
      </w:r>
    </w:p>
    <w:p w14:paraId="138DFB9E" w14:textId="77777777" w:rsidR="004D732A" w:rsidRPr="00867D1C" w:rsidRDefault="004D732A" w:rsidP="004D732A">
      <w:pPr>
        <w:pStyle w:val="1"/>
        <w:ind w:firstLine="760"/>
        <w:jc w:val="both"/>
      </w:pPr>
      <w:r>
        <w:rPr>
          <w:color w:val="000000"/>
          <w:lang w:eastAsia="ru-RU" w:bidi="ru-RU"/>
        </w:rPr>
        <w:t xml:space="preserve">По показателю </w:t>
      </w:r>
      <w:r>
        <w:rPr>
          <w:b/>
          <w:bCs/>
          <w:color w:val="000000"/>
          <w:lang w:eastAsia="ru-RU" w:bidi="ru-RU"/>
        </w:rPr>
        <w:t xml:space="preserve">«Ввод в действие объектов социально-культурной сферы за счет всех источников финансирования, единиц» </w:t>
      </w:r>
      <w:r>
        <w:rPr>
          <w:color w:val="000000"/>
          <w:lang w:eastAsia="ru-RU" w:bidi="ru-RU"/>
        </w:rPr>
        <w:t xml:space="preserve">представляется общее количество объектов социальной сферы, введённых за отчетный период на территории поселения за счет всех источников финансирования. </w:t>
      </w:r>
      <w:r w:rsidRPr="00867D1C">
        <w:rPr>
          <w:lang w:eastAsia="ru-RU" w:bidi="ru-RU"/>
        </w:rPr>
        <w:t>В решении о бюджете муниципального образования «Юкковское сельское поселение» на 2023 год и плановый период 2024- 2025 годов предусмотрены бюджетные ассигнования на разработку проектно-</w:t>
      </w:r>
      <w:r w:rsidRPr="00867D1C">
        <w:rPr>
          <w:lang w:eastAsia="ru-RU" w:bidi="ru-RU"/>
        </w:rPr>
        <w:softHyphen/>
        <w:t>сметной документации на строительство Дома культуры. На плановый период 202</w:t>
      </w:r>
      <w:r>
        <w:rPr>
          <w:lang w:eastAsia="ru-RU" w:bidi="ru-RU"/>
        </w:rPr>
        <w:t>4</w:t>
      </w:r>
      <w:r w:rsidRPr="00867D1C">
        <w:rPr>
          <w:lang w:eastAsia="ru-RU" w:bidi="ru-RU"/>
        </w:rPr>
        <w:t xml:space="preserve">- 2025 года запланировано строительство Дома культуры, </w:t>
      </w:r>
      <w:r w:rsidRPr="00867D1C">
        <w:rPr>
          <w:lang w:eastAsia="ru-RU" w:bidi="ru-RU"/>
        </w:rPr>
        <w:lastRenderedPageBreak/>
        <w:t>планируемый срок ввода в эксплуатацию в 2025 году. Мощность объекта будет определена после разработки проектно-сметной документации.</w:t>
      </w:r>
    </w:p>
    <w:p w14:paraId="48FA95DE" w14:textId="77777777" w:rsidR="004D732A" w:rsidRPr="00867D1C" w:rsidRDefault="004D732A" w:rsidP="004D732A">
      <w:pPr>
        <w:pStyle w:val="1"/>
        <w:ind w:firstLine="760"/>
        <w:jc w:val="both"/>
      </w:pPr>
      <w:r w:rsidRPr="00867D1C">
        <w:rPr>
          <w:b/>
          <w:bCs/>
          <w:lang w:eastAsia="ru-RU" w:bidi="ru-RU"/>
        </w:rPr>
        <w:t xml:space="preserve">Общая площадь жилых помещений, приходящаяся в среднем </w:t>
      </w:r>
      <w:proofErr w:type="gramStart"/>
      <w:r w:rsidRPr="00867D1C">
        <w:rPr>
          <w:b/>
          <w:bCs/>
          <w:lang w:eastAsia="ru-RU" w:bidi="ru-RU"/>
        </w:rPr>
        <w:t>на одного жителя</w:t>
      </w:r>
      <w:proofErr w:type="gramEnd"/>
      <w:r w:rsidRPr="00867D1C">
        <w:rPr>
          <w:b/>
          <w:bCs/>
          <w:lang w:eastAsia="ru-RU" w:bidi="ru-RU"/>
        </w:rPr>
        <w:t xml:space="preserve"> </w:t>
      </w:r>
      <w:r w:rsidRPr="00867D1C">
        <w:rPr>
          <w:lang w:eastAsia="ru-RU" w:bidi="ru-RU"/>
        </w:rPr>
        <w:t>определяется как отношение всего жилищного фонда на конец года к численности населения по состоянию на эту же дату.</w:t>
      </w:r>
    </w:p>
    <w:p w14:paraId="50544BB3" w14:textId="77777777" w:rsidR="004D732A" w:rsidRPr="00867D1C" w:rsidRDefault="004D732A" w:rsidP="004D732A">
      <w:pPr>
        <w:pStyle w:val="1"/>
        <w:ind w:firstLine="760"/>
        <w:jc w:val="both"/>
      </w:pPr>
      <w:r w:rsidRPr="00867D1C">
        <w:rPr>
          <w:lang w:eastAsia="ru-RU" w:bidi="ru-RU"/>
        </w:rPr>
        <w:t>При прогнозировании показателя учитываются ожидаемые изменения в параметрах жилищного фонда с учетом процессов ввода в действие объектов нового строительства, выбытия жилищного фонда в связи со сносом, постановкой на капитальный ремонт и реконструкцию, переводом в нежилой фонд, а также данные прогноза численности населения поселения на соответствующую дату.</w:t>
      </w:r>
    </w:p>
    <w:p w14:paraId="4CE8FB00" w14:textId="77777777" w:rsidR="004D732A" w:rsidRPr="00867D1C" w:rsidRDefault="004D732A" w:rsidP="004D732A">
      <w:pPr>
        <w:pStyle w:val="1"/>
        <w:ind w:firstLine="760"/>
        <w:jc w:val="both"/>
      </w:pPr>
      <w:r w:rsidRPr="00867D1C">
        <w:rPr>
          <w:lang w:eastAsia="ru-RU" w:bidi="ru-RU"/>
        </w:rPr>
        <w:t>Информация об общей площади всего жилищного фонда на конец 202</w:t>
      </w:r>
      <w:r>
        <w:rPr>
          <w:lang w:eastAsia="ru-RU" w:bidi="ru-RU"/>
        </w:rPr>
        <w:t>2</w:t>
      </w:r>
      <w:r w:rsidRPr="00867D1C">
        <w:rPr>
          <w:lang w:eastAsia="ru-RU" w:bidi="ru-RU"/>
        </w:rPr>
        <w:t xml:space="preserve"> года отсутствует. Рассчитать показатель: «Общая площадь жилых помещений, приходящаяся в среднем на одного жителя» не представляется возможным.</w:t>
      </w:r>
    </w:p>
    <w:p w14:paraId="20F21B33" w14:textId="77777777" w:rsidR="004D732A" w:rsidRPr="00867D1C" w:rsidRDefault="004D732A" w:rsidP="004D732A">
      <w:pPr>
        <w:pStyle w:val="1"/>
        <w:spacing w:after="300"/>
        <w:ind w:firstLine="760"/>
        <w:jc w:val="both"/>
      </w:pPr>
      <w:r w:rsidRPr="00867D1C">
        <w:rPr>
          <w:lang w:eastAsia="ru-RU" w:bidi="ru-RU"/>
        </w:rPr>
        <w:t xml:space="preserve">Особенностью географического положения муниципального образования «Юкковское сельское поселение» является то, что оно непосредственно граничит с г. Санкт-Петербургом, что исторически задает основной вектор развития территории поселения в качестве территории для занятия сельским хозяйством и зоны </w:t>
      </w:r>
      <w:proofErr w:type="spellStart"/>
      <w:r w:rsidRPr="00867D1C">
        <w:rPr>
          <w:lang w:eastAsia="ru-RU" w:bidi="ru-RU"/>
        </w:rPr>
        <w:t>дачно</w:t>
      </w:r>
      <w:r w:rsidRPr="00867D1C">
        <w:rPr>
          <w:lang w:eastAsia="ru-RU" w:bidi="ru-RU"/>
        </w:rPr>
        <w:softHyphen/>
        <w:t>рекреационного</w:t>
      </w:r>
      <w:proofErr w:type="spellEnd"/>
      <w:r w:rsidRPr="00867D1C">
        <w:rPr>
          <w:lang w:eastAsia="ru-RU" w:bidi="ru-RU"/>
        </w:rPr>
        <w:t xml:space="preserve"> и оздоровительного отдыха для жителей одного из крупнейших городов Российской Федерации - Санкт-Петербурга. Значительная доля площадей жилых помещений на территории поселения используется гражданами, зарегистрированными в г. Санкт-Петербург, для загородного отдыха.</w:t>
      </w:r>
    </w:p>
    <w:p w14:paraId="030A3219" w14:textId="77777777" w:rsidR="004D732A" w:rsidRDefault="004D732A" w:rsidP="004D732A">
      <w:pPr>
        <w:pStyle w:val="20"/>
        <w:keepNext/>
        <w:keepLines/>
        <w:numPr>
          <w:ilvl w:val="1"/>
          <w:numId w:val="1"/>
        </w:numPr>
        <w:tabs>
          <w:tab w:val="left" w:pos="1475"/>
        </w:tabs>
        <w:spacing w:after="300"/>
        <w:ind w:firstLine="760"/>
        <w:jc w:val="both"/>
      </w:pPr>
      <w:bookmarkStart w:id="4" w:name="bookmark10"/>
      <w:r>
        <w:rPr>
          <w:color w:val="000000"/>
          <w:lang w:eastAsia="ru-RU" w:bidi="ru-RU"/>
        </w:rPr>
        <w:t>Блок показателей «V. Транспорт»</w:t>
      </w:r>
      <w:bookmarkEnd w:id="4"/>
    </w:p>
    <w:p w14:paraId="39308FE5" w14:textId="77777777" w:rsidR="004D732A" w:rsidRDefault="004D732A" w:rsidP="004D732A">
      <w:pPr>
        <w:pStyle w:val="1"/>
        <w:ind w:firstLine="760"/>
        <w:jc w:val="both"/>
      </w:pPr>
      <w:r>
        <w:rPr>
          <w:b/>
          <w:bCs/>
          <w:color w:val="000000"/>
          <w:lang w:eastAsia="ru-RU" w:bidi="ru-RU"/>
        </w:rPr>
        <w:t xml:space="preserve">Протяженность автомобильной </w:t>
      </w:r>
      <w:r>
        <w:rPr>
          <w:color w:val="000000"/>
          <w:lang w:eastAsia="ru-RU" w:bidi="ru-RU"/>
        </w:rPr>
        <w:t>дороги исчисляется от начального до конечного населенного пункта путем суммирования длин отдельных участков, образующих дорожную сеть. К автомобильным дорогам общего пользования местного значения относятся дороги местного значения, находящиеся к собственности муниципальных образований, включая относящиеся к собственности поселений, муниципальных районов, городских округов. На конец 2023 года протяженность автодорог общего пользования местного значения составит 46,6 км, в прогнозном периоде данный показатель сохраниться, строительство автодорог в прогнозном периоде не планируется.</w:t>
      </w:r>
    </w:p>
    <w:p w14:paraId="170D217B" w14:textId="77777777" w:rsidR="004D732A" w:rsidRDefault="004D732A" w:rsidP="004D732A">
      <w:pPr>
        <w:pStyle w:val="1"/>
        <w:ind w:firstLine="760"/>
        <w:jc w:val="both"/>
      </w:pPr>
      <w:r>
        <w:rPr>
          <w:b/>
          <w:bCs/>
          <w:color w:val="000000"/>
          <w:lang w:eastAsia="ru-RU" w:bidi="ru-RU"/>
        </w:rPr>
        <w:t xml:space="preserve">Протяженность автомобильных дорог общего пользования местного значения с твердым покрытием </w:t>
      </w:r>
      <w:r>
        <w:rPr>
          <w:color w:val="000000"/>
          <w:lang w:eastAsia="ru-RU" w:bidi="ru-RU"/>
        </w:rPr>
        <w:t xml:space="preserve">определяется по дорогам, имеющим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Pr>
          <w:color w:val="000000"/>
          <w:lang w:eastAsia="ru-RU" w:bidi="ru-RU"/>
        </w:rPr>
        <w:t>цементобетона</w:t>
      </w:r>
      <w:proofErr w:type="spellEnd"/>
      <w:r>
        <w:rPr>
          <w:color w:val="000000"/>
          <w:lang w:eastAsia="ru-RU" w:bidi="ru-RU"/>
        </w:rPr>
        <w:t>, природного камня и т.п.</w:t>
      </w:r>
    </w:p>
    <w:p w14:paraId="6DCA3BA1" w14:textId="77777777" w:rsidR="004D732A" w:rsidRDefault="004D732A" w:rsidP="004D732A">
      <w:pPr>
        <w:pStyle w:val="1"/>
        <w:spacing w:line="254" w:lineRule="auto"/>
        <w:ind w:firstLine="740"/>
        <w:jc w:val="both"/>
      </w:pPr>
      <w:r>
        <w:rPr>
          <w:color w:val="000000"/>
          <w:lang w:eastAsia="ru-RU" w:bidi="ru-RU"/>
        </w:rPr>
        <w:t>При прогнозировании показателей развития автомобильных дорог на территории поселения учитываются показатели муниципальной программы развития дорожной отрасли. В муниципальной программе «Развитие сети муниципальных дорог общего пользования» до 2025 года предусмотрено бюджетных ассигнований на ремонт дорог в размере 60004,4 тыс. рублей, соответственно, прогнозируемая протяженность автодорог общего пользования местного значения с твердым покрытием на конец 2025 года составит 46,6 км.</w:t>
      </w:r>
    </w:p>
    <w:p w14:paraId="025E886D" w14:textId="77777777" w:rsidR="004D732A" w:rsidRDefault="004D732A" w:rsidP="004D732A">
      <w:pPr>
        <w:pStyle w:val="1"/>
        <w:spacing w:line="254" w:lineRule="auto"/>
        <w:ind w:firstLine="740"/>
        <w:jc w:val="both"/>
      </w:pPr>
      <w:r>
        <w:rPr>
          <w:color w:val="000000"/>
          <w:lang w:eastAsia="ru-RU" w:bidi="ru-RU"/>
        </w:rPr>
        <w:lastRenderedPageBreak/>
        <w:t xml:space="preserve">Показатель </w:t>
      </w:r>
      <w:r>
        <w:rPr>
          <w:b/>
          <w:bCs/>
          <w:color w:val="000000"/>
          <w:lang w:eastAsia="ru-RU" w:bidi="ru-RU"/>
        </w:rPr>
        <w:t xml:space="preserve">«Удельный вес автомобильных дорог с твердым покрытием в общей протяженности автомобильных дорог общего пользования местного значения (на конец года), %» </w:t>
      </w:r>
      <w:r>
        <w:rPr>
          <w:color w:val="000000"/>
          <w:lang w:eastAsia="ru-RU" w:bidi="ru-RU"/>
        </w:rPr>
        <w:t>служит для определения обеспеченности муниципального образования дорогами соответствующего качества, как следствие для определения транспортной доступности тех или иных поселений.</w:t>
      </w:r>
    </w:p>
    <w:p w14:paraId="7FA477AA" w14:textId="77777777" w:rsidR="004D732A" w:rsidRDefault="004D732A" w:rsidP="004D732A">
      <w:pPr>
        <w:pStyle w:val="1"/>
        <w:spacing w:after="320" w:line="254" w:lineRule="auto"/>
        <w:ind w:firstLine="740"/>
        <w:jc w:val="both"/>
      </w:pPr>
      <w:r>
        <w:rPr>
          <w:color w:val="000000"/>
          <w:lang w:eastAsia="ru-RU" w:bidi="ru-RU"/>
        </w:rPr>
        <w:t>Удельный вес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на конец 2022 года составит 81,5% и в 2023,2024 и 2025 годах не измениться.</w:t>
      </w:r>
    </w:p>
    <w:p w14:paraId="638FAC32" w14:textId="77777777" w:rsidR="004D732A" w:rsidRDefault="004D732A" w:rsidP="004D732A">
      <w:pPr>
        <w:pStyle w:val="20"/>
        <w:keepNext/>
        <w:keepLines/>
        <w:numPr>
          <w:ilvl w:val="1"/>
          <w:numId w:val="1"/>
        </w:numPr>
        <w:tabs>
          <w:tab w:val="left" w:pos="1455"/>
        </w:tabs>
        <w:spacing w:after="320"/>
        <w:ind w:firstLine="740"/>
        <w:jc w:val="both"/>
      </w:pPr>
      <w:bookmarkStart w:id="5" w:name="bookmark12"/>
      <w:r>
        <w:rPr>
          <w:color w:val="000000"/>
          <w:lang w:eastAsia="ru-RU" w:bidi="ru-RU"/>
        </w:rPr>
        <w:t>Блок показателей «VI. Потребительский рынок»</w:t>
      </w:r>
      <w:bookmarkEnd w:id="5"/>
    </w:p>
    <w:p w14:paraId="19CDD940" w14:textId="77777777" w:rsidR="004D732A" w:rsidRDefault="004D732A" w:rsidP="004D732A">
      <w:pPr>
        <w:pStyle w:val="1"/>
        <w:ind w:firstLine="740"/>
        <w:jc w:val="both"/>
      </w:pPr>
      <w:r>
        <w:rPr>
          <w:color w:val="000000"/>
          <w:lang w:eastAsia="ru-RU" w:bidi="ru-RU"/>
        </w:rPr>
        <w:t>Потребительский рынок - основная сфера деятельности малого предпринимательства. Основными проблемами, стоящими перед предприятиями, являются высокая насыщенность рынка товарами других регионов и импортной продукцией, высокая конкуренция, проблема с сырьевой базой, отсутствие оборотных средств.</w:t>
      </w:r>
    </w:p>
    <w:p w14:paraId="091432FC" w14:textId="77777777" w:rsidR="004D732A" w:rsidRDefault="004D732A" w:rsidP="004D732A">
      <w:pPr>
        <w:pStyle w:val="1"/>
        <w:ind w:firstLine="740"/>
        <w:jc w:val="both"/>
      </w:pPr>
      <w:r>
        <w:rPr>
          <w:color w:val="000000"/>
          <w:lang w:eastAsia="ru-RU" w:bidi="ru-RU"/>
        </w:rPr>
        <w:t>На формирование рынка платных услуг в среднесрочной перспективе будут оказывать влияние конъюнктура потребительского спроса на отдельные виды услуг, изменения цен и тарифов на платные услуги, по жилищно-коммунальным услугам - оснащенность многоквартирных домов узлами учета потребления услуг. Наибольший удельный вес в общей структуре платных услуг приходится на долю жилищно-коммунальных, и бытовых услуг.</w:t>
      </w:r>
    </w:p>
    <w:p w14:paraId="66F4B301" w14:textId="77777777" w:rsidR="004D732A" w:rsidRDefault="004D732A" w:rsidP="004D732A">
      <w:pPr>
        <w:pStyle w:val="1"/>
        <w:ind w:firstLine="740"/>
        <w:jc w:val="both"/>
      </w:pPr>
      <w:r>
        <w:rPr>
          <w:b/>
          <w:bCs/>
          <w:color w:val="000000"/>
          <w:lang w:eastAsia="ru-RU" w:bidi="ru-RU"/>
        </w:rPr>
        <w:t xml:space="preserve">Оборот розничной торговли </w:t>
      </w:r>
      <w:r>
        <w:rPr>
          <w:color w:val="000000"/>
          <w:lang w:eastAsia="ru-RU" w:bidi="ru-RU"/>
        </w:rPr>
        <w:t xml:space="preserve">представляет собой выручку от продажи товаров населению для личного потребления или использования в домашнем хозяйстве за наличный расчет или оплаченных по кредитным карточкам, по расчетным чекам банков, по перечислениям со счетов вкладчиков, по поручению физических лиц без открытия счета, посредством платежных карт (электронных денег). 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Pr>
          <w:color w:val="000000"/>
          <w:lang w:eastAsia="ru-RU" w:bidi="ru-RU"/>
        </w:rPr>
        <w:t>спецпотребителям</w:t>
      </w:r>
      <w:proofErr w:type="spellEnd"/>
      <w:r>
        <w:rPr>
          <w:color w:val="000000"/>
          <w:lang w:eastAsia="ru-RU" w:bidi="ru-RU"/>
        </w:rPr>
        <w:t xml:space="preserve"> и т.п.) и индивидуальным предпринимателям, и оборот общественного питания.</w:t>
      </w:r>
    </w:p>
    <w:p w14:paraId="548415D0" w14:textId="77777777" w:rsidR="004D732A" w:rsidRDefault="004D732A" w:rsidP="004D732A">
      <w:pPr>
        <w:pStyle w:val="1"/>
        <w:spacing w:after="160"/>
        <w:ind w:firstLine="740"/>
        <w:jc w:val="both"/>
      </w:pPr>
      <w:r>
        <w:rPr>
          <w:color w:val="000000"/>
          <w:lang w:eastAsia="ru-RU" w:bidi="ru-RU"/>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14:paraId="6A45AE57" w14:textId="77777777" w:rsidR="004D732A" w:rsidRDefault="004D732A" w:rsidP="004D732A">
      <w:pPr>
        <w:pStyle w:val="1"/>
        <w:ind w:firstLine="720"/>
        <w:jc w:val="both"/>
      </w:pPr>
      <w:r>
        <w:rPr>
          <w:color w:val="000000"/>
          <w:lang w:eastAsia="ru-RU" w:bidi="ru-RU"/>
        </w:rPr>
        <w:t>Оборот розничной торговли, % к предыдущему году в действующих ценах, является показателем динамики розничной торговли.</w:t>
      </w:r>
    </w:p>
    <w:p w14:paraId="0E3E4162" w14:textId="77777777" w:rsidR="004D732A" w:rsidRDefault="004D732A" w:rsidP="004D732A">
      <w:pPr>
        <w:pStyle w:val="1"/>
        <w:ind w:firstLine="720"/>
        <w:jc w:val="both"/>
      </w:pPr>
      <w:r>
        <w:rPr>
          <w:color w:val="000000"/>
          <w:lang w:eastAsia="ru-RU" w:bidi="ru-RU"/>
        </w:rPr>
        <w:t>При прогнозировании показателей развития розничной торговли учитываются ожидаемые тенденции изменения реальных денежных доходов населения, развития сети розничной торговли, потребительских предпочтениях жителей, включая выбор места приобретения дорогостоящих товаров длительного использования (в муниципальном образовании или за его пределами).</w:t>
      </w:r>
    </w:p>
    <w:p w14:paraId="055F1729" w14:textId="77777777" w:rsidR="004D732A" w:rsidRDefault="004D732A" w:rsidP="004D732A">
      <w:pPr>
        <w:pStyle w:val="1"/>
        <w:ind w:firstLine="720"/>
        <w:jc w:val="both"/>
      </w:pPr>
      <w:r>
        <w:rPr>
          <w:color w:val="000000"/>
          <w:lang w:eastAsia="ru-RU" w:bidi="ru-RU"/>
        </w:rPr>
        <w:lastRenderedPageBreak/>
        <w:t>Статистических данных по обороту розничной торговли за 2022 год нет. Произвести оценку и сделать прогноз на 2024-2026 год не представляется возможным.</w:t>
      </w:r>
    </w:p>
    <w:p w14:paraId="2C08291B" w14:textId="77777777" w:rsidR="004D732A" w:rsidRDefault="004D732A" w:rsidP="004D732A">
      <w:pPr>
        <w:pStyle w:val="1"/>
        <w:ind w:firstLine="720"/>
        <w:jc w:val="both"/>
      </w:pPr>
      <w:r>
        <w:rPr>
          <w:b/>
          <w:bCs/>
          <w:color w:val="000000"/>
          <w:lang w:eastAsia="ru-RU" w:bidi="ru-RU"/>
        </w:rPr>
        <w:t xml:space="preserve">Объем платных услуг населению </w:t>
      </w:r>
      <w:r>
        <w:rPr>
          <w:color w:val="000000"/>
          <w:lang w:eastAsia="ru-RU" w:bidi="ru-RU"/>
        </w:rPr>
        <w:t>отражает объем потребления гражданами различных видов услуг, оказанных им за плату. Он представляет собой денежный эквивалент объема услуг, оказанных юридическими лицами, гражданами, занимающимися предпринимательской деятельностью без образования юридического лица, зарегистрированными на территории муниципального образования жителям муниципального образования, а также гражданам других регионов, потребляющим услуги на территории конкретного муниципального образования.</w:t>
      </w:r>
    </w:p>
    <w:p w14:paraId="501DC6E7" w14:textId="77777777" w:rsidR="004D732A" w:rsidRDefault="004D732A" w:rsidP="004D732A">
      <w:pPr>
        <w:pStyle w:val="1"/>
        <w:ind w:firstLine="720"/>
        <w:jc w:val="both"/>
      </w:pPr>
      <w:r>
        <w:rPr>
          <w:color w:val="000000"/>
          <w:lang w:eastAsia="ru-RU" w:bidi="ru-RU"/>
        </w:rPr>
        <w:t>Объем платных услуг населению, % к предыдущему году в действующих ценах является показателем динамики развития сферы услуг,</w:t>
      </w:r>
    </w:p>
    <w:p w14:paraId="21645A72" w14:textId="77777777" w:rsidR="004D732A" w:rsidRDefault="004D732A" w:rsidP="004D732A">
      <w:pPr>
        <w:pStyle w:val="1"/>
        <w:ind w:firstLine="720"/>
        <w:jc w:val="both"/>
      </w:pPr>
      <w:r>
        <w:rPr>
          <w:color w:val="000000"/>
          <w:lang w:eastAsia="ru-RU" w:bidi="ru-RU"/>
        </w:rPr>
        <w:t>При прогнозировании значений показателей сферы платных услуг учитываются ожидаемые тенденции изменения реальных денежных доходов населения, развития сети организаций, оказывающих населению платные услуги, тарифная политика, изменения в структуре оказания платных услуг.</w:t>
      </w:r>
    </w:p>
    <w:p w14:paraId="21EE88AE" w14:textId="77777777" w:rsidR="004D732A" w:rsidRDefault="004D732A" w:rsidP="004D732A">
      <w:pPr>
        <w:pStyle w:val="1"/>
        <w:ind w:firstLine="720"/>
        <w:jc w:val="both"/>
      </w:pPr>
      <w:r>
        <w:rPr>
          <w:color w:val="000000"/>
          <w:lang w:eastAsia="ru-RU" w:bidi="ru-RU"/>
        </w:rPr>
        <w:t>Статистических данных по объему платных услуг за 2022 год нет. Произвести оценку и сделать прогноз на 2024-2026 год не представляется возможным.</w:t>
      </w:r>
    </w:p>
    <w:p w14:paraId="56FE36B4" w14:textId="77777777" w:rsidR="004D732A" w:rsidRDefault="004D732A" w:rsidP="004D732A">
      <w:pPr>
        <w:pStyle w:val="1"/>
        <w:ind w:firstLine="720"/>
        <w:jc w:val="both"/>
      </w:pPr>
      <w:r>
        <w:rPr>
          <w:color w:val="000000"/>
          <w:lang w:eastAsia="ru-RU" w:bidi="ru-RU"/>
        </w:rPr>
        <w:t>По показателям «Количество торговых точек (магазины, павильоны, автолавки и др.), единиц», «Количество пунктов общественного питания (рестораны, столовые, кафе и др.), единиц» и «Количество пунктов бытового обслуживания населения (бани, парикмахерские, прачечные, химчистки, ремонтные и пошивочные мастерские, автосервисы и др.), единиц» формируется общее количество объектов по каждой сфере потребительского рынка, осуществляющих свою деятельность на территории поселения по состоянию на конец отчетного периода.</w:t>
      </w:r>
    </w:p>
    <w:p w14:paraId="718579C5" w14:textId="77777777" w:rsidR="004D732A" w:rsidRDefault="004D732A" w:rsidP="004D732A">
      <w:pPr>
        <w:pStyle w:val="1"/>
        <w:ind w:firstLine="720"/>
        <w:jc w:val="both"/>
      </w:pPr>
      <w:r>
        <w:rPr>
          <w:color w:val="000000"/>
          <w:lang w:eastAsia="ru-RU" w:bidi="ru-RU"/>
        </w:rPr>
        <w:t xml:space="preserve">Количество торговых точек на конец 2022 года по данным </w:t>
      </w:r>
      <w:proofErr w:type="spellStart"/>
      <w:r>
        <w:rPr>
          <w:color w:val="000000"/>
          <w:lang w:eastAsia="ru-RU" w:bidi="ru-RU"/>
        </w:rPr>
        <w:t>Петростата</w:t>
      </w:r>
      <w:proofErr w:type="spellEnd"/>
      <w:r>
        <w:rPr>
          <w:color w:val="000000"/>
          <w:lang w:eastAsia="ru-RU" w:bidi="ru-RU"/>
        </w:rPr>
        <w:t xml:space="preserve"> составило 19 единиц, в разрезе типов предприятий и организаций, их мощности, в том числе:</w:t>
      </w:r>
    </w:p>
    <w:p w14:paraId="289D675D" w14:textId="77777777" w:rsidR="004D732A" w:rsidRDefault="004D732A" w:rsidP="004D732A">
      <w:pPr>
        <w:pStyle w:val="1"/>
        <w:numPr>
          <w:ilvl w:val="0"/>
          <w:numId w:val="2"/>
        </w:numPr>
        <w:tabs>
          <w:tab w:val="left" w:pos="938"/>
        </w:tabs>
        <w:ind w:firstLine="720"/>
        <w:jc w:val="both"/>
      </w:pPr>
      <w:r>
        <w:rPr>
          <w:color w:val="000000"/>
          <w:lang w:eastAsia="ru-RU" w:bidi="ru-RU"/>
        </w:rPr>
        <w:t>магазины, 8 ед. / площадь торгового зала в 2650 кв. м;</w:t>
      </w:r>
    </w:p>
    <w:p w14:paraId="39932ABC" w14:textId="77777777" w:rsidR="004D732A" w:rsidRDefault="004D732A" w:rsidP="004D732A">
      <w:pPr>
        <w:pStyle w:val="1"/>
        <w:numPr>
          <w:ilvl w:val="0"/>
          <w:numId w:val="2"/>
        </w:numPr>
        <w:tabs>
          <w:tab w:val="left" w:pos="938"/>
        </w:tabs>
        <w:ind w:firstLine="720"/>
        <w:jc w:val="both"/>
      </w:pPr>
      <w:r>
        <w:rPr>
          <w:color w:val="000000"/>
          <w:lang w:eastAsia="ru-RU" w:bidi="ru-RU"/>
        </w:rPr>
        <w:t>павильоны, 1 ед. / площадь торгового зала, 10 кв. м.;</w:t>
      </w:r>
    </w:p>
    <w:p w14:paraId="5DDB40DE" w14:textId="77777777" w:rsidR="004D732A" w:rsidRDefault="004D732A" w:rsidP="004D732A">
      <w:pPr>
        <w:pStyle w:val="1"/>
        <w:numPr>
          <w:ilvl w:val="0"/>
          <w:numId w:val="2"/>
        </w:numPr>
        <w:tabs>
          <w:tab w:val="left" w:pos="938"/>
        </w:tabs>
        <w:ind w:firstLine="720"/>
        <w:jc w:val="both"/>
      </w:pPr>
      <w:r>
        <w:rPr>
          <w:color w:val="000000"/>
          <w:lang w:eastAsia="ru-RU" w:bidi="ru-RU"/>
        </w:rPr>
        <w:t>супермаркеты, 3 ед. / площадь торгового зала, 1400 кв. м.;</w:t>
      </w:r>
    </w:p>
    <w:p w14:paraId="3F5464EF" w14:textId="77777777" w:rsidR="004D732A" w:rsidRDefault="004D732A" w:rsidP="004D732A">
      <w:pPr>
        <w:pStyle w:val="1"/>
        <w:numPr>
          <w:ilvl w:val="0"/>
          <w:numId w:val="2"/>
        </w:numPr>
        <w:tabs>
          <w:tab w:val="left" w:pos="923"/>
        </w:tabs>
        <w:ind w:firstLine="720"/>
        <w:jc w:val="both"/>
      </w:pPr>
      <w:r>
        <w:rPr>
          <w:color w:val="000000"/>
          <w:lang w:eastAsia="ru-RU" w:bidi="ru-RU"/>
        </w:rPr>
        <w:t>специализированные продовольственные магазины, 2 ед. / площадь торгового зала, 300 кв. м.;</w:t>
      </w:r>
    </w:p>
    <w:p w14:paraId="23B0E7F6" w14:textId="77777777" w:rsidR="004D732A" w:rsidRDefault="004D732A" w:rsidP="004D732A">
      <w:pPr>
        <w:pStyle w:val="1"/>
        <w:numPr>
          <w:ilvl w:val="0"/>
          <w:numId w:val="2"/>
        </w:numPr>
        <w:tabs>
          <w:tab w:val="left" w:pos="938"/>
        </w:tabs>
        <w:ind w:firstLine="720"/>
        <w:jc w:val="both"/>
      </w:pPr>
      <w:r>
        <w:rPr>
          <w:color w:val="000000"/>
          <w:lang w:eastAsia="ru-RU" w:bidi="ru-RU"/>
        </w:rPr>
        <w:t>прочие магазины, 2 ед. / площадь торгового зала, 150 кв. м.;</w:t>
      </w:r>
    </w:p>
    <w:p w14:paraId="54BF989D" w14:textId="77777777" w:rsidR="004D732A" w:rsidRDefault="004D732A" w:rsidP="004D732A">
      <w:pPr>
        <w:pStyle w:val="1"/>
        <w:numPr>
          <w:ilvl w:val="0"/>
          <w:numId w:val="2"/>
        </w:numPr>
        <w:tabs>
          <w:tab w:val="left" w:pos="933"/>
        </w:tabs>
        <w:ind w:firstLine="720"/>
        <w:jc w:val="both"/>
      </w:pPr>
      <w:r>
        <w:rPr>
          <w:color w:val="000000"/>
          <w:lang w:eastAsia="ru-RU" w:bidi="ru-RU"/>
        </w:rPr>
        <w:t>универмаги, 1 ед. / площадь торгового зала, 800 кв. м.;</w:t>
      </w:r>
    </w:p>
    <w:p w14:paraId="554EAD7A" w14:textId="77777777" w:rsidR="004D732A" w:rsidRDefault="004D732A" w:rsidP="004D732A">
      <w:pPr>
        <w:pStyle w:val="1"/>
        <w:numPr>
          <w:ilvl w:val="0"/>
          <w:numId w:val="2"/>
        </w:numPr>
        <w:tabs>
          <w:tab w:val="left" w:pos="938"/>
        </w:tabs>
        <w:ind w:firstLine="720"/>
        <w:jc w:val="both"/>
      </w:pPr>
      <w:r>
        <w:rPr>
          <w:color w:val="000000"/>
          <w:lang w:eastAsia="ru-RU" w:bidi="ru-RU"/>
        </w:rPr>
        <w:t>палатки, киоски и аптечные пункты -2 ед.</w:t>
      </w:r>
    </w:p>
    <w:p w14:paraId="4662177B" w14:textId="77777777" w:rsidR="004D732A" w:rsidRDefault="004D732A" w:rsidP="004D732A">
      <w:pPr>
        <w:pStyle w:val="1"/>
        <w:ind w:firstLine="700"/>
        <w:jc w:val="both"/>
      </w:pPr>
      <w:r>
        <w:rPr>
          <w:color w:val="000000"/>
          <w:lang w:eastAsia="ru-RU" w:bidi="ru-RU"/>
        </w:rPr>
        <w:t>Количество пунктов общественного питания всего 5единиц, в том числе:</w:t>
      </w:r>
    </w:p>
    <w:p w14:paraId="3C2BB4AF" w14:textId="77777777" w:rsidR="004D732A" w:rsidRDefault="004D732A" w:rsidP="004D732A">
      <w:pPr>
        <w:pStyle w:val="1"/>
        <w:numPr>
          <w:ilvl w:val="0"/>
          <w:numId w:val="2"/>
        </w:numPr>
        <w:tabs>
          <w:tab w:val="left" w:pos="961"/>
        </w:tabs>
        <w:ind w:firstLine="740"/>
        <w:jc w:val="both"/>
      </w:pPr>
      <w:r>
        <w:rPr>
          <w:color w:val="000000"/>
          <w:lang w:eastAsia="ru-RU" w:bidi="ru-RU"/>
        </w:rPr>
        <w:t xml:space="preserve">рестораны, кафе, бары З ед. / площадь зала 550 </w:t>
      </w:r>
      <w:proofErr w:type="spellStart"/>
      <w:proofErr w:type="gramStart"/>
      <w:r>
        <w:rPr>
          <w:color w:val="000000"/>
          <w:lang w:eastAsia="ru-RU" w:bidi="ru-RU"/>
        </w:rPr>
        <w:t>кв.м</w:t>
      </w:r>
      <w:proofErr w:type="spellEnd"/>
      <w:proofErr w:type="gramEnd"/>
      <w:r>
        <w:rPr>
          <w:color w:val="000000"/>
          <w:lang w:eastAsia="ru-RU" w:bidi="ru-RU"/>
        </w:rPr>
        <w:t>/ число мест 400 ед.;</w:t>
      </w:r>
    </w:p>
    <w:p w14:paraId="73BF5FBC" w14:textId="77777777" w:rsidR="004D732A" w:rsidRDefault="004D732A" w:rsidP="004D732A">
      <w:pPr>
        <w:pStyle w:val="1"/>
        <w:numPr>
          <w:ilvl w:val="0"/>
          <w:numId w:val="2"/>
        </w:numPr>
        <w:tabs>
          <w:tab w:val="left" w:pos="936"/>
        </w:tabs>
        <w:spacing w:line="240" w:lineRule="auto"/>
        <w:ind w:firstLine="740"/>
        <w:jc w:val="both"/>
      </w:pPr>
      <w:r>
        <w:rPr>
          <w:color w:val="000000"/>
          <w:lang w:eastAsia="ru-RU" w:bidi="ru-RU"/>
        </w:rPr>
        <w:t xml:space="preserve">общедоступные столовые, закусочные 1 ед. / площадь зала 20 </w:t>
      </w:r>
      <w:proofErr w:type="spellStart"/>
      <w:proofErr w:type="gramStart"/>
      <w:r>
        <w:rPr>
          <w:color w:val="000000"/>
          <w:lang w:eastAsia="ru-RU" w:bidi="ru-RU"/>
        </w:rPr>
        <w:t>кв.м</w:t>
      </w:r>
      <w:proofErr w:type="spellEnd"/>
      <w:proofErr w:type="gramEnd"/>
      <w:r>
        <w:rPr>
          <w:color w:val="000000"/>
          <w:lang w:eastAsia="ru-RU" w:bidi="ru-RU"/>
        </w:rPr>
        <w:t>/ число мест 24 ед.;</w:t>
      </w:r>
    </w:p>
    <w:p w14:paraId="0FC8980D" w14:textId="77777777" w:rsidR="004D732A" w:rsidRDefault="004D732A" w:rsidP="004D732A">
      <w:pPr>
        <w:pStyle w:val="1"/>
        <w:numPr>
          <w:ilvl w:val="0"/>
          <w:numId w:val="2"/>
        </w:numPr>
        <w:tabs>
          <w:tab w:val="left" w:pos="941"/>
        </w:tabs>
        <w:spacing w:line="254" w:lineRule="auto"/>
        <w:ind w:firstLine="740"/>
        <w:jc w:val="both"/>
      </w:pPr>
      <w:r>
        <w:rPr>
          <w:color w:val="000000"/>
          <w:lang w:eastAsia="ru-RU" w:bidi="ru-RU"/>
        </w:rPr>
        <w:t xml:space="preserve">столовые учебных заведений, организаций, промышленных предприятий 1ед. / площадь зала 100 </w:t>
      </w:r>
      <w:proofErr w:type="spellStart"/>
      <w:proofErr w:type="gramStart"/>
      <w:r>
        <w:rPr>
          <w:color w:val="000000"/>
          <w:lang w:eastAsia="ru-RU" w:bidi="ru-RU"/>
        </w:rPr>
        <w:t>кв.м</w:t>
      </w:r>
      <w:proofErr w:type="spellEnd"/>
      <w:proofErr w:type="gramEnd"/>
      <w:r>
        <w:rPr>
          <w:color w:val="000000"/>
          <w:lang w:eastAsia="ru-RU" w:bidi="ru-RU"/>
        </w:rPr>
        <w:t xml:space="preserve"> / число мест 100 ед.;</w:t>
      </w:r>
    </w:p>
    <w:p w14:paraId="1D7DDBCE" w14:textId="77777777" w:rsidR="004D732A" w:rsidRDefault="004D732A" w:rsidP="004D732A">
      <w:pPr>
        <w:pStyle w:val="1"/>
        <w:spacing w:line="254" w:lineRule="auto"/>
        <w:ind w:firstLine="740"/>
        <w:jc w:val="both"/>
      </w:pPr>
      <w:r>
        <w:rPr>
          <w:color w:val="000000"/>
          <w:lang w:eastAsia="ru-RU" w:bidi="ru-RU"/>
        </w:rPr>
        <w:t xml:space="preserve">Количество пунктов бытового обслуживания населения всего 20 единиц, в </w:t>
      </w:r>
      <w:r>
        <w:rPr>
          <w:color w:val="000000"/>
          <w:lang w:eastAsia="ru-RU" w:bidi="ru-RU"/>
        </w:rPr>
        <w:lastRenderedPageBreak/>
        <w:t>том числе:</w:t>
      </w:r>
    </w:p>
    <w:p w14:paraId="00662058" w14:textId="77777777" w:rsidR="004D732A" w:rsidRDefault="004D732A" w:rsidP="004D732A">
      <w:pPr>
        <w:pStyle w:val="1"/>
        <w:numPr>
          <w:ilvl w:val="0"/>
          <w:numId w:val="2"/>
        </w:numPr>
        <w:tabs>
          <w:tab w:val="left" w:pos="966"/>
        </w:tabs>
        <w:spacing w:line="254" w:lineRule="auto"/>
        <w:ind w:firstLine="740"/>
        <w:jc w:val="both"/>
      </w:pPr>
      <w:r>
        <w:rPr>
          <w:color w:val="000000"/>
          <w:lang w:eastAsia="ru-RU" w:bidi="ru-RU"/>
        </w:rPr>
        <w:t>бани, сауны, душевые, 1 ед.;</w:t>
      </w:r>
    </w:p>
    <w:p w14:paraId="68F36D6A" w14:textId="77777777" w:rsidR="004D732A" w:rsidRDefault="004D732A" w:rsidP="004D732A">
      <w:pPr>
        <w:pStyle w:val="1"/>
        <w:numPr>
          <w:ilvl w:val="0"/>
          <w:numId w:val="2"/>
        </w:numPr>
        <w:tabs>
          <w:tab w:val="left" w:pos="966"/>
        </w:tabs>
        <w:spacing w:line="254" w:lineRule="auto"/>
        <w:ind w:firstLine="740"/>
        <w:jc w:val="both"/>
      </w:pPr>
      <w:r>
        <w:rPr>
          <w:color w:val="000000"/>
          <w:lang w:eastAsia="ru-RU" w:bidi="ru-RU"/>
        </w:rPr>
        <w:t>парикмахерские и салоны красоты, 4 ед.;</w:t>
      </w:r>
    </w:p>
    <w:p w14:paraId="5DB9641C" w14:textId="77777777" w:rsidR="004D732A" w:rsidRDefault="004D732A" w:rsidP="004D732A">
      <w:pPr>
        <w:pStyle w:val="1"/>
        <w:numPr>
          <w:ilvl w:val="0"/>
          <w:numId w:val="2"/>
        </w:numPr>
        <w:tabs>
          <w:tab w:val="left" w:pos="966"/>
        </w:tabs>
        <w:spacing w:line="254" w:lineRule="auto"/>
        <w:ind w:firstLine="740"/>
        <w:jc w:val="both"/>
      </w:pPr>
      <w:r>
        <w:rPr>
          <w:color w:val="000000"/>
          <w:lang w:eastAsia="ru-RU" w:bidi="ru-RU"/>
        </w:rPr>
        <w:t>прачечные и химчистки, 1 ед.;</w:t>
      </w:r>
    </w:p>
    <w:p w14:paraId="2C425DEA" w14:textId="77777777" w:rsidR="004D732A" w:rsidRDefault="004D732A" w:rsidP="004D732A">
      <w:pPr>
        <w:pStyle w:val="1"/>
        <w:numPr>
          <w:ilvl w:val="0"/>
          <w:numId w:val="2"/>
        </w:numPr>
        <w:tabs>
          <w:tab w:val="left" w:pos="966"/>
        </w:tabs>
        <w:spacing w:line="254" w:lineRule="auto"/>
        <w:ind w:firstLine="740"/>
        <w:jc w:val="both"/>
      </w:pPr>
      <w:r>
        <w:rPr>
          <w:color w:val="000000"/>
          <w:lang w:eastAsia="ru-RU" w:bidi="ru-RU"/>
        </w:rPr>
        <w:t>и другие объекты бытового обслуживания 14 ед.</w:t>
      </w:r>
    </w:p>
    <w:p w14:paraId="0919A863" w14:textId="77777777" w:rsidR="004D732A" w:rsidRDefault="004D732A" w:rsidP="004D732A">
      <w:pPr>
        <w:pStyle w:val="1"/>
        <w:spacing w:line="254" w:lineRule="auto"/>
        <w:ind w:firstLine="740"/>
        <w:jc w:val="both"/>
      </w:pPr>
      <w:r>
        <w:rPr>
          <w:color w:val="000000"/>
          <w:lang w:eastAsia="ru-RU" w:bidi="ru-RU"/>
        </w:rPr>
        <w:t>По состоянию на 1 июля 2023 года показатели раздела «Объем платных услуг» остались на уровне 2022 года, то предполагаемый уровень всех показателей в 2023 году будет равен показателям 2022 года.</w:t>
      </w:r>
    </w:p>
    <w:p w14:paraId="385D914B" w14:textId="77777777" w:rsidR="004D732A" w:rsidRDefault="004D732A" w:rsidP="004D732A">
      <w:pPr>
        <w:pStyle w:val="1"/>
        <w:spacing w:after="320" w:line="254" w:lineRule="auto"/>
        <w:ind w:firstLine="740"/>
        <w:jc w:val="both"/>
      </w:pPr>
      <w:r>
        <w:rPr>
          <w:color w:val="000000"/>
          <w:lang w:eastAsia="ru-RU" w:bidi="ru-RU"/>
        </w:rPr>
        <w:t>При прогнозировании показателей на 2024-2026 годы объектов потребительской инфраструктуры на территории поселения с учетом незначительного прогнозируемого увеличения численности населения увеличение количества торговых точек, пунктов общественного питания и пунктов бытового обслуживания не планируется.</w:t>
      </w:r>
    </w:p>
    <w:p w14:paraId="789BADFA" w14:textId="77777777" w:rsidR="004D732A" w:rsidRDefault="004D732A" w:rsidP="004D732A">
      <w:pPr>
        <w:pStyle w:val="20"/>
        <w:keepNext/>
        <w:keepLines/>
        <w:numPr>
          <w:ilvl w:val="1"/>
          <w:numId w:val="1"/>
        </w:numPr>
        <w:tabs>
          <w:tab w:val="left" w:pos="1429"/>
        </w:tabs>
        <w:spacing w:after="320"/>
        <w:ind w:firstLine="740"/>
        <w:jc w:val="both"/>
      </w:pPr>
      <w:bookmarkStart w:id="6" w:name="bookmark14"/>
      <w:r>
        <w:rPr>
          <w:color w:val="000000"/>
          <w:lang w:eastAsia="ru-RU" w:bidi="ru-RU"/>
        </w:rPr>
        <w:t>Блок показателей «VII. Малое и среднее предпринимательство»</w:t>
      </w:r>
      <w:bookmarkEnd w:id="6"/>
    </w:p>
    <w:p w14:paraId="076E57D2" w14:textId="77777777" w:rsidR="004D732A" w:rsidRDefault="004D732A" w:rsidP="004D732A">
      <w:pPr>
        <w:pStyle w:val="1"/>
        <w:spacing w:line="254" w:lineRule="auto"/>
        <w:ind w:firstLine="740"/>
        <w:jc w:val="both"/>
      </w:pPr>
      <w:r>
        <w:rPr>
          <w:color w:val="000000"/>
          <w:lang w:eastAsia="ru-RU" w:bidi="ru-RU"/>
        </w:rPr>
        <w:t>В блок «VII. Малое и среднее предпринимательство» включены следующие показатели:</w:t>
      </w:r>
    </w:p>
    <w:p w14:paraId="2F2BBA7A" w14:textId="77777777" w:rsidR="004D732A" w:rsidRDefault="004D732A" w:rsidP="004D732A">
      <w:pPr>
        <w:pStyle w:val="1"/>
        <w:numPr>
          <w:ilvl w:val="0"/>
          <w:numId w:val="3"/>
        </w:numPr>
        <w:tabs>
          <w:tab w:val="left" w:pos="1429"/>
        </w:tabs>
        <w:ind w:firstLine="1080"/>
        <w:jc w:val="both"/>
      </w:pPr>
      <w:r>
        <w:rPr>
          <w:color w:val="000000"/>
          <w:lang w:eastAsia="ru-RU" w:bidi="ru-RU"/>
        </w:rPr>
        <w:t>Количество малых и средних предприятий, включая микропредприятия на конец года 2022, составило 241 единиц, по оценке на 2023 год данный показатель останется на уровне 2022 года, на прогнозный период планируется незначительный рост количества с 241 единиц в 2023 году до 263 единиц в 2026 году;</w:t>
      </w:r>
    </w:p>
    <w:p w14:paraId="3B9DB416" w14:textId="77777777" w:rsidR="004D732A" w:rsidRDefault="004D732A" w:rsidP="004D732A">
      <w:pPr>
        <w:pStyle w:val="1"/>
        <w:numPr>
          <w:ilvl w:val="0"/>
          <w:numId w:val="3"/>
        </w:numPr>
        <w:tabs>
          <w:tab w:val="left" w:pos="1429"/>
        </w:tabs>
        <w:ind w:firstLine="1080"/>
        <w:jc w:val="both"/>
      </w:pPr>
      <w:r>
        <w:rPr>
          <w:color w:val="000000"/>
          <w:lang w:eastAsia="ru-RU" w:bidi="ru-RU"/>
        </w:rPr>
        <w:t>Среднесписочная численность работников на предприятиях малого и среднего предпринимательства (включая микропредприятия), за 2022 составило 209 человек, на конец 2023 среднесписочная численность составит 210 человек; в плановом периоде ожидается не значительный рост показателя с 211 человека в 2024 до 213 человек в 2026 году;</w:t>
      </w:r>
    </w:p>
    <w:p w14:paraId="2C127AB2" w14:textId="77777777" w:rsidR="004D732A" w:rsidRDefault="004D732A" w:rsidP="004D732A">
      <w:pPr>
        <w:pStyle w:val="1"/>
        <w:numPr>
          <w:ilvl w:val="0"/>
          <w:numId w:val="3"/>
        </w:numPr>
        <w:tabs>
          <w:tab w:val="left" w:pos="1429"/>
        </w:tabs>
        <w:ind w:firstLine="1080"/>
        <w:jc w:val="both"/>
      </w:pPr>
      <w:r>
        <w:rPr>
          <w:color w:val="000000"/>
          <w:lang w:eastAsia="ru-RU" w:bidi="ru-RU"/>
        </w:rPr>
        <w:t>Число индивидуальных предпринимателей (физических лиц, действующих без образования юридического лица) за 2022 составило 194 человек, на конец 2023 число индивидуальных предпринимателей ожидается на уровне 2022 года; в плановом периоде ожидается не значительный рост показателя с 196 человека в 2024 до 212 человек в 2026 году.</w:t>
      </w:r>
    </w:p>
    <w:p w14:paraId="5BF9DC2C" w14:textId="77777777" w:rsidR="004D732A" w:rsidRDefault="004D732A" w:rsidP="004D732A">
      <w:pPr>
        <w:pStyle w:val="1"/>
        <w:ind w:firstLine="740"/>
        <w:jc w:val="both"/>
      </w:pPr>
      <w:r>
        <w:rPr>
          <w:color w:val="000000"/>
          <w:lang w:eastAsia="ru-RU" w:bidi="ru-RU"/>
        </w:rPr>
        <w:t>Прогноз малого и среднего предпринимательства включает обоснование перспектив развития по полному кругу субъектов малого и среднего предпринимательства с учетом микропредприятий, индивидуальных предпринимателей и самозанятых.</w:t>
      </w:r>
    </w:p>
    <w:p w14:paraId="1B807833" w14:textId="77777777" w:rsidR="004D732A" w:rsidRDefault="004D732A" w:rsidP="004D732A">
      <w:pPr>
        <w:pStyle w:val="1"/>
        <w:ind w:firstLine="740"/>
        <w:jc w:val="both"/>
      </w:pPr>
      <w:r>
        <w:rPr>
          <w:color w:val="000000"/>
          <w:lang w:eastAsia="ru-RU" w:bidi="ru-RU"/>
        </w:rPr>
        <w:t xml:space="preserve">Количество малых и средних предприятий, включая микропредприятия рассчитывается на основании данных по количеству средних, малых и </w:t>
      </w:r>
      <w:proofErr w:type="gramStart"/>
      <w:r>
        <w:rPr>
          <w:color w:val="000000"/>
          <w:lang w:eastAsia="ru-RU" w:bidi="ru-RU"/>
        </w:rPr>
        <w:t>микро предприятий</w:t>
      </w:r>
      <w:proofErr w:type="gramEnd"/>
      <w:r>
        <w:rPr>
          <w:color w:val="000000"/>
          <w:lang w:eastAsia="ru-RU" w:bidi="ru-RU"/>
        </w:rPr>
        <w:t xml:space="preserve"> на конец отчетного периода.</w:t>
      </w:r>
    </w:p>
    <w:p w14:paraId="2A900BCE" w14:textId="77777777" w:rsidR="004D732A" w:rsidRDefault="004D732A" w:rsidP="004D732A">
      <w:pPr>
        <w:pStyle w:val="1"/>
        <w:spacing w:after="320" w:line="254" w:lineRule="auto"/>
        <w:ind w:firstLine="740"/>
        <w:jc w:val="both"/>
      </w:pPr>
      <w:r>
        <w:rPr>
          <w:color w:val="000000"/>
          <w:lang w:eastAsia="ru-RU" w:bidi="ru-RU"/>
        </w:rPr>
        <w:t>Информация по итогам за 2022 год и за первое полугодие 2023 года подготовлена из Единого реестра субъектов малого и среднего предпринимательства.</w:t>
      </w:r>
    </w:p>
    <w:p w14:paraId="7321980D" w14:textId="77777777" w:rsidR="004D732A" w:rsidRDefault="004D732A" w:rsidP="004D732A">
      <w:pPr>
        <w:pStyle w:val="20"/>
        <w:keepNext/>
        <w:keepLines/>
        <w:numPr>
          <w:ilvl w:val="1"/>
          <w:numId w:val="1"/>
        </w:numPr>
        <w:tabs>
          <w:tab w:val="left" w:pos="1455"/>
        </w:tabs>
        <w:spacing w:after="0"/>
        <w:ind w:firstLine="740"/>
        <w:jc w:val="both"/>
      </w:pPr>
      <w:bookmarkStart w:id="7" w:name="bookmark16"/>
      <w:r>
        <w:rPr>
          <w:color w:val="000000"/>
          <w:lang w:eastAsia="ru-RU" w:bidi="ru-RU"/>
        </w:rPr>
        <w:t>Блок показателей «VIII. Инвестиции»</w:t>
      </w:r>
      <w:bookmarkEnd w:id="7"/>
    </w:p>
    <w:p w14:paraId="6AD33018" w14:textId="77777777" w:rsidR="004D732A" w:rsidRDefault="004D732A" w:rsidP="004D732A">
      <w:pPr>
        <w:pStyle w:val="1"/>
        <w:ind w:firstLine="740"/>
        <w:jc w:val="both"/>
      </w:pPr>
      <w:r>
        <w:rPr>
          <w:color w:val="000000"/>
          <w:lang w:eastAsia="ru-RU" w:bidi="ru-RU"/>
        </w:rPr>
        <w:t>В блок «VIII. Инвестиции» включены следующие показатели:</w:t>
      </w:r>
    </w:p>
    <w:p w14:paraId="42E8EED9" w14:textId="77777777" w:rsidR="004D732A" w:rsidRDefault="004D732A" w:rsidP="004D732A">
      <w:pPr>
        <w:pStyle w:val="1"/>
        <w:numPr>
          <w:ilvl w:val="0"/>
          <w:numId w:val="4"/>
        </w:numPr>
        <w:tabs>
          <w:tab w:val="left" w:pos="1086"/>
        </w:tabs>
        <w:ind w:firstLine="740"/>
        <w:jc w:val="both"/>
      </w:pPr>
      <w:r>
        <w:rPr>
          <w:color w:val="000000"/>
          <w:lang w:eastAsia="ru-RU" w:bidi="ru-RU"/>
        </w:rPr>
        <w:lastRenderedPageBreak/>
        <w:t>Инвестиции в основной капитал, тыс. руб.;</w:t>
      </w:r>
    </w:p>
    <w:p w14:paraId="7D1FC47C" w14:textId="77777777" w:rsidR="004D732A" w:rsidRDefault="004D732A" w:rsidP="004D732A">
      <w:pPr>
        <w:pStyle w:val="1"/>
        <w:numPr>
          <w:ilvl w:val="0"/>
          <w:numId w:val="4"/>
        </w:numPr>
        <w:tabs>
          <w:tab w:val="left" w:pos="1086"/>
        </w:tabs>
        <w:ind w:left="1100" w:hanging="360"/>
        <w:jc w:val="both"/>
      </w:pPr>
      <w:r>
        <w:rPr>
          <w:color w:val="000000"/>
          <w:lang w:eastAsia="ru-RU" w:bidi="ru-RU"/>
        </w:rPr>
        <w:t>Темп изменений объема инвестиций в основной капитал, % к предыдущему году в действующих ценах.</w:t>
      </w:r>
    </w:p>
    <w:p w14:paraId="46C1B817" w14:textId="77777777" w:rsidR="004D732A" w:rsidRDefault="004D732A" w:rsidP="004D732A">
      <w:pPr>
        <w:pStyle w:val="1"/>
        <w:ind w:firstLine="740"/>
        <w:jc w:val="both"/>
      </w:pPr>
      <w:r>
        <w:rPr>
          <w:color w:val="000000"/>
          <w:lang w:eastAsia="ru-RU" w:bidi="ru-RU"/>
        </w:rPr>
        <w:t>Оценка и прогноз показателей по данному блоку проводиться по полному кругу предприятий и организаций.</w:t>
      </w:r>
    </w:p>
    <w:p w14:paraId="10C02BB1" w14:textId="77777777" w:rsidR="004D732A" w:rsidRDefault="004D732A" w:rsidP="004D732A">
      <w:pPr>
        <w:pStyle w:val="1"/>
        <w:ind w:firstLine="740"/>
        <w:jc w:val="both"/>
      </w:pPr>
      <w:r>
        <w:rPr>
          <w:b/>
          <w:bCs/>
          <w:color w:val="000000"/>
          <w:lang w:eastAsia="ru-RU" w:bidi="ru-RU"/>
        </w:rPr>
        <w:t xml:space="preserve">Инвестиции - </w:t>
      </w:r>
      <w:r>
        <w:rPr>
          <w:color w:val="000000"/>
          <w:lang w:eastAsia="ru-RU" w:bidi="ru-RU"/>
        </w:rPr>
        <w:t>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14:paraId="3758D6E7" w14:textId="77777777" w:rsidR="004D732A" w:rsidRDefault="004D732A" w:rsidP="004D732A">
      <w:pPr>
        <w:pStyle w:val="1"/>
        <w:ind w:firstLine="740"/>
        <w:jc w:val="both"/>
      </w:pPr>
      <w:r>
        <w:rPr>
          <w:color w:val="000000"/>
          <w:lang w:eastAsia="ru-RU" w:bidi="ru-RU"/>
        </w:rPr>
        <w:t>Такие вложения осуществляются путем приобретения экономических активов, т.е. объектов, владение и пользование которыми приносит их владельцам экономическую выгоду в течение определенного периода времени. Ориентация на будущие доходы при вложении капитала - существенная черта, отличающая инвестиции от текущих затрат на производство товаров и услуг.</w:t>
      </w:r>
    </w:p>
    <w:p w14:paraId="66393F32" w14:textId="77777777" w:rsidR="004D732A" w:rsidRDefault="004D732A" w:rsidP="004D732A">
      <w:pPr>
        <w:pStyle w:val="1"/>
        <w:ind w:firstLine="740"/>
        <w:jc w:val="both"/>
      </w:pPr>
      <w:r>
        <w:rPr>
          <w:b/>
          <w:bCs/>
          <w:color w:val="000000"/>
          <w:lang w:eastAsia="ru-RU" w:bidi="ru-RU"/>
        </w:rPr>
        <w:t xml:space="preserve">Инвестиции в основной капитал </w:t>
      </w:r>
      <w:r>
        <w:rPr>
          <w:color w:val="000000"/>
          <w:lang w:eastAsia="ru-RU" w:bidi="ru-RU"/>
        </w:rPr>
        <w:t>оцениваются как затраты на строительство, реконструкцию (включая расширение и модернизацию) объектов, которые приводят к увеличению их первоначальной стоимости и повышению полезного эффекта использования (далее - строительство), приобретение машин, оборудования, транспортных средств, производственного и хозяйственного инвентаря, на формирование рабочего, продуктивного и племенного стада, насаждение и выращивание многолетних культур и т.д., инвестиции в объекты интеллектуальной собственности: программное обеспечение и базы данных, оригиналы произведений развлекательного жанра, литературы и искусства, научные исследования и разработки, создание и приобретение изобретений, полезных моделей и промышленных образцов, разведка недр и оценка запасов полезных ископаемых, включая произведенные нематериальные поисковые затраты.</w:t>
      </w:r>
    </w:p>
    <w:p w14:paraId="3D3A54DB" w14:textId="77777777" w:rsidR="004D732A" w:rsidRDefault="004D732A" w:rsidP="004D732A">
      <w:pPr>
        <w:pStyle w:val="1"/>
        <w:ind w:firstLine="740"/>
        <w:jc w:val="both"/>
      </w:pPr>
      <w:r>
        <w:rPr>
          <w:color w:val="000000"/>
          <w:lang w:eastAsia="ru-RU" w:bidi="ru-RU"/>
        </w:rPr>
        <w:t>К инвестициям в основной капитал относятся затраты на создание новых и приобретение поступивших по импорту основных средств, осуществляемые за счет всех источников финансирования, включая средства бюджетов на возвратной и безвозвратной основе, кредиты, техническую и гуманитарную помощь, договор мены.</w:t>
      </w:r>
    </w:p>
    <w:p w14:paraId="01D61A6C" w14:textId="77777777" w:rsidR="004D732A" w:rsidRDefault="004D732A" w:rsidP="004D732A">
      <w:pPr>
        <w:pStyle w:val="1"/>
        <w:ind w:firstLine="740"/>
        <w:jc w:val="both"/>
      </w:pPr>
      <w:r>
        <w:rPr>
          <w:b/>
          <w:bCs/>
          <w:color w:val="000000"/>
          <w:lang w:eastAsia="ru-RU" w:bidi="ru-RU"/>
        </w:rPr>
        <w:t xml:space="preserve">Темп изменения объема инвестиций в основной капитал </w:t>
      </w:r>
      <w:r>
        <w:rPr>
          <w:color w:val="000000"/>
          <w:lang w:eastAsia="ru-RU" w:bidi="ru-RU"/>
        </w:rPr>
        <w:t>является относительным показателем, характеризующим изменение объемов инвестиций в основной капитал в динамике. Темпы изменений объема инвестиций в основной капитал рассчитываются путем деления данных за текущий период на данные за соответствующий период предыдущего года, приведенные в текущих ценах каждого года</w:t>
      </w:r>
    </w:p>
    <w:p w14:paraId="0DC051F1" w14:textId="77777777" w:rsidR="004D732A" w:rsidRDefault="004D732A" w:rsidP="004D732A">
      <w:pPr>
        <w:pStyle w:val="1"/>
        <w:ind w:firstLine="740"/>
        <w:jc w:val="both"/>
      </w:pPr>
      <w:r>
        <w:rPr>
          <w:color w:val="000000"/>
          <w:lang w:eastAsia="ru-RU" w:bidi="ru-RU"/>
        </w:rPr>
        <w:t xml:space="preserve">Прогноз </w:t>
      </w:r>
      <w:r>
        <w:rPr>
          <w:b/>
          <w:bCs/>
          <w:color w:val="000000"/>
          <w:lang w:eastAsia="ru-RU" w:bidi="ru-RU"/>
        </w:rPr>
        <w:t xml:space="preserve">инвестиции в основной капитал </w:t>
      </w:r>
      <w:r>
        <w:rPr>
          <w:color w:val="000000"/>
          <w:lang w:eastAsia="ru-RU" w:bidi="ru-RU"/>
        </w:rPr>
        <w:t>осуществляется с учетом всех источников финансирования, то есть как за счет собственных средств инвесторов, так и за счет привлеченных средств.</w:t>
      </w:r>
    </w:p>
    <w:p w14:paraId="26144094" w14:textId="77777777" w:rsidR="004D732A" w:rsidRDefault="004D732A" w:rsidP="004D732A">
      <w:pPr>
        <w:pStyle w:val="1"/>
        <w:spacing w:line="254" w:lineRule="auto"/>
        <w:ind w:firstLine="720"/>
        <w:jc w:val="both"/>
      </w:pPr>
      <w:r>
        <w:rPr>
          <w:color w:val="000000"/>
          <w:lang w:eastAsia="ru-RU" w:bidi="ru-RU"/>
        </w:rPr>
        <w:t xml:space="preserve">К </w:t>
      </w:r>
      <w:r>
        <w:rPr>
          <w:b/>
          <w:bCs/>
          <w:color w:val="000000"/>
          <w:lang w:eastAsia="ru-RU" w:bidi="ru-RU"/>
        </w:rPr>
        <w:t xml:space="preserve">собственным средствам </w:t>
      </w:r>
      <w:r>
        <w:rPr>
          <w:color w:val="000000"/>
          <w:lang w:eastAsia="ru-RU" w:bidi="ru-RU"/>
        </w:rPr>
        <w:t>юридических лиц, относится прибыль, остающаяся в распоряжении организаций, средства резервных фондов, вклады учредителей в уставный капитал организации, направленные на инвестирование в основной капитал, средства, выплачиваемые органами страхования в виде возмещения потерь от аварий, стихийных бедствий, и т.д.</w:t>
      </w:r>
    </w:p>
    <w:p w14:paraId="71FE36D1" w14:textId="77777777" w:rsidR="004D732A" w:rsidRDefault="004D732A" w:rsidP="004D732A">
      <w:pPr>
        <w:pStyle w:val="1"/>
        <w:spacing w:line="240" w:lineRule="auto"/>
        <w:ind w:firstLine="720"/>
        <w:jc w:val="both"/>
      </w:pPr>
      <w:r>
        <w:rPr>
          <w:b/>
          <w:bCs/>
          <w:color w:val="000000"/>
          <w:lang w:eastAsia="ru-RU" w:bidi="ru-RU"/>
        </w:rPr>
        <w:lastRenderedPageBreak/>
        <w:t xml:space="preserve">Привлеченные (заемные) средства - </w:t>
      </w:r>
      <w:r>
        <w:rPr>
          <w:color w:val="000000"/>
          <w:lang w:eastAsia="ru-RU" w:bidi="ru-RU"/>
        </w:rPr>
        <w:t>денежные средства, не принадлежащие организации, но временно находящиеся в ее распоряжении и используемые наравне с собственными.</w:t>
      </w:r>
    </w:p>
    <w:p w14:paraId="4089F3F3" w14:textId="77777777" w:rsidR="004D732A" w:rsidRDefault="004D732A" w:rsidP="004D732A">
      <w:pPr>
        <w:pStyle w:val="1"/>
        <w:spacing w:after="320" w:line="240" w:lineRule="auto"/>
        <w:ind w:firstLine="740"/>
        <w:jc w:val="both"/>
      </w:pPr>
      <w:r>
        <w:rPr>
          <w:color w:val="000000"/>
          <w:lang w:eastAsia="ru-RU" w:bidi="ru-RU"/>
        </w:rPr>
        <w:t xml:space="preserve">По данным </w:t>
      </w:r>
      <w:proofErr w:type="spellStart"/>
      <w:r>
        <w:rPr>
          <w:color w:val="000000"/>
          <w:lang w:eastAsia="ru-RU" w:bidi="ru-RU"/>
        </w:rPr>
        <w:t>Петростата</w:t>
      </w:r>
      <w:proofErr w:type="spellEnd"/>
      <w:r>
        <w:rPr>
          <w:color w:val="000000"/>
          <w:lang w:eastAsia="ru-RU" w:bidi="ru-RU"/>
        </w:rPr>
        <w:t xml:space="preserve"> за 2022 год объем инвестиций в основной капитал в МО «Юкковское сельское поселение» составил 212 868,0 тыс. рублей.  Произвести оценку на 2023 год и сделать прогноз на 2024-2026 год не представляется возможным.</w:t>
      </w:r>
    </w:p>
    <w:p w14:paraId="07608D38" w14:textId="4FE76CB6" w:rsidR="004D732A" w:rsidRDefault="004D732A" w:rsidP="004D732A">
      <w:pPr>
        <w:pStyle w:val="20"/>
        <w:keepNext/>
        <w:keepLines/>
        <w:numPr>
          <w:ilvl w:val="1"/>
          <w:numId w:val="1"/>
        </w:numPr>
        <w:tabs>
          <w:tab w:val="left" w:pos="1435"/>
        </w:tabs>
        <w:spacing w:after="0"/>
        <w:jc w:val="both"/>
      </w:pPr>
      <w:r w:rsidRPr="00E75C2D">
        <w:rPr>
          <w:lang w:eastAsia="ru-RU" w:bidi="ru-RU"/>
        </w:rPr>
        <w:t>Блок показателей «</w:t>
      </w:r>
      <w:r>
        <w:rPr>
          <w:lang w:val="en-US" w:eastAsia="ru-RU" w:bidi="ru-RU"/>
        </w:rPr>
        <w:t>I</w:t>
      </w:r>
      <w:r w:rsidRPr="00E75C2D">
        <w:rPr>
          <w:lang w:eastAsia="ru-RU" w:bidi="ru-RU"/>
        </w:rPr>
        <w:t xml:space="preserve">X. </w:t>
      </w:r>
      <w:r w:rsidR="00402A3B">
        <w:rPr>
          <w:lang w:eastAsia="ru-RU" w:bidi="ru-RU"/>
        </w:rPr>
        <w:t>Бюджет муниципального образования</w:t>
      </w:r>
      <w:r w:rsidRPr="00E75C2D">
        <w:rPr>
          <w:lang w:eastAsia="ru-RU" w:bidi="ru-RU"/>
        </w:rPr>
        <w:t>»</w:t>
      </w:r>
    </w:p>
    <w:p w14:paraId="63F7894E" w14:textId="29771A16" w:rsidR="006F0F77" w:rsidRPr="000369E9" w:rsidRDefault="00FB062C" w:rsidP="00FB062C">
      <w:pPr>
        <w:pStyle w:val="20"/>
        <w:keepNext/>
        <w:keepLines/>
        <w:tabs>
          <w:tab w:val="left" w:pos="1435"/>
        </w:tabs>
        <w:spacing w:after="0"/>
        <w:ind w:firstLine="709"/>
        <w:jc w:val="both"/>
        <w:rPr>
          <w:b w:val="0"/>
          <w:bCs w:val="0"/>
        </w:rPr>
      </w:pPr>
      <w:r>
        <w:rPr>
          <w:b w:val="0"/>
          <w:bCs w:val="0"/>
        </w:rPr>
        <w:t xml:space="preserve">Показатели данного блока отражены в соответствии с Решением Совета депутатов муниципального образования «Юкковское сельское поселение» </w:t>
      </w:r>
      <w:r w:rsidR="006F0F77">
        <w:rPr>
          <w:b w:val="0"/>
          <w:bCs w:val="0"/>
        </w:rPr>
        <w:t xml:space="preserve">Всеволожского района Ленинградской области </w:t>
      </w:r>
      <w:r>
        <w:rPr>
          <w:b w:val="0"/>
          <w:bCs w:val="0"/>
        </w:rPr>
        <w:t>от 22.12.2022 года №64 «О бюджете муниципального образования «Юкковское сельское поселение» на 2023 год и на плановый период 2024 и 2025 годов»</w:t>
      </w:r>
    </w:p>
    <w:p w14:paraId="4DF4F62F" w14:textId="77777777" w:rsidR="00402A3B" w:rsidRPr="006F0F77" w:rsidRDefault="00402A3B" w:rsidP="006F0F77">
      <w:pPr>
        <w:pStyle w:val="20"/>
        <w:keepNext/>
        <w:keepLines/>
        <w:tabs>
          <w:tab w:val="left" w:pos="1435"/>
        </w:tabs>
        <w:spacing w:after="0"/>
        <w:ind w:firstLine="0"/>
        <w:jc w:val="both"/>
        <w:rPr>
          <w:b w:val="0"/>
          <w:bCs w:val="0"/>
        </w:rPr>
      </w:pPr>
    </w:p>
    <w:p w14:paraId="51810F3E" w14:textId="544730C7" w:rsidR="006F0F77" w:rsidRDefault="006F0F77" w:rsidP="006F0F77">
      <w:pPr>
        <w:pStyle w:val="20"/>
        <w:keepNext/>
        <w:keepLines/>
        <w:numPr>
          <w:ilvl w:val="1"/>
          <w:numId w:val="1"/>
        </w:numPr>
        <w:tabs>
          <w:tab w:val="left" w:pos="1435"/>
        </w:tabs>
        <w:spacing w:after="0"/>
        <w:jc w:val="both"/>
      </w:pPr>
      <w:r w:rsidRPr="00E75C2D">
        <w:rPr>
          <w:lang w:eastAsia="ru-RU" w:bidi="ru-RU"/>
        </w:rPr>
        <w:t>Блок показателей «X. Рынок труда и занятость населения»</w:t>
      </w:r>
    </w:p>
    <w:p w14:paraId="1376EB62" w14:textId="1D932651" w:rsidR="00033322" w:rsidRPr="00033322" w:rsidRDefault="00E34CD1" w:rsidP="00033322">
      <w:pPr>
        <w:tabs>
          <w:tab w:val="left" w:pos="180"/>
        </w:tabs>
        <w:ind w:firstLine="720"/>
        <w:jc w:val="both"/>
        <w:rPr>
          <w:rFonts w:ascii="Times New Roman" w:hAnsi="Times New Roman" w:cs="Times New Roman"/>
          <w:sz w:val="26"/>
          <w:szCs w:val="26"/>
        </w:rPr>
      </w:pPr>
      <w:r w:rsidRPr="00E34CD1">
        <w:rPr>
          <w:rFonts w:ascii="Times New Roman" w:hAnsi="Times New Roman" w:cs="Times New Roman"/>
          <w:sz w:val="26"/>
          <w:szCs w:val="26"/>
        </w:rPr>
        <w:t xml:space="preserve">Численность занятых в экономике указана в соответствии </w:t>
      </w:r>
      <w:r w:rsidRPr="00E34CD1">
        <w:rPr>
          <w:rFonts w:ascii="Times New Roman" w:hAnsi="Times New Roman" w:cs="Times New Roman"/>
          <w:sz w:val="26"/>
          <w:szCs w:val="26"/>
        </w:rPr>
        <w:br/>
        <w:t>с информацией, представленной ГКУ «Центр занятости населения» Ленинградской области Всеволожский филиал в 202</w:t>
      </w:r>
      <w:r>
        <w:rPr>
          <w:rFonts w:ascii="Times New Roman" w:hAnsi="Times New Roman" w:cs="Times New Roman"/>
          <w:sz w:val="26"/>
          <w:szCs w:val="26"/>
        </w:rPr>
        <w:t>2</w:t>
      </w:r>
      <w:r w:rsidRPr="00E34CD1">
        <w:rPr>
          <w:rFonts w:ascii="Times New Roman" w:hAnsi="Times New Roman" w:cs="Times New Roman"/>
          <w:sz w:val="26"/>
          <w:szCs w:val="26"/>
        </w:rPr>
        <w:t xml:space="preserve"> году она составила </w:t>
      </w:r>
      <w:proofErr w:type="gramStart"/>
      <w:r w:rsidRPr="00E34CD1">
        <w:rPr>
          <w:rFonts w:ascii="Times New Roman" w:hAnsi="Times New Roman" w:cs="Times New Roman"/>
          <w:sz w:val="26"/>
          <w:szCs w:val="26"/>
        </w:rPr>
        <w:t xml:space="preserve">-  </w:t>
      </w:r>
      <w:r>
        <w:rPr>
          <w:rFonts w:ascii="Times New Roman" w:hAnsi="Times New Roman" w:cs="Times New Roman"/>
          <w:sz w:val="26"/>
          <w:szCs w:val="26"/>
        </w:rPr>
        <w:t>2842</w:t>
      </w:r>
      <w:proofErr w:type="gramEnd"/>
      <w:r w:rsidRPr="00E34CD1">
        <w:rPr>
          <w:rFonts w:ascii="Times New Roman" w:hAnsi="Times New Roman" w:cs="Times New Roman"/>
          <w:sz w:val="26"/>
          <w:szCs w:val="26"/>
        </w:rPr>
        <w:t xml:space="preserve"> человек</w:t>
      </w:r>
      <w:r>
        <w:rPr>
          <w:rFonts w:ascii="Times New Roman" w:hAnsi="Times New Roman" w:cs="Times New Roman"/>
          <w:sz w:val="26"/>
          <w:szCs w:val="26"/>
        </w:rPr>
        <w:t>а</w:t>
      </w:r>
      <w:r w:rsidR="00033322">
        <w:rPr>
          <w:rFonts w:ascii="Times New Roman" w:hAnsi="Times New Roman" w:cs="Times New Roman"/>
          <w:sz w:val="26"/>
          <w:szCs w:val="26"/>
        </w:rPr>
        <w:t>. В</w:t>
      </w:r>
      <w:r w:rsidRPr="00E34CD1">
        <w:rPr>
          <w:rFonts w:ascii="Times New Roman" w:hAnsi="Times New Roman" w:cs="Times New Roman"/>
          <w:sz w:val="26"/>
          <w:szCs w:val="26"/>
        </w:rPr>
        <w:t xml:space="preserve"> 202</w:t>
      </w:r>
      <w:r>
        <w:rPr>
          <w:rFonts w:ascii="Times New Roman" w:hAnsi="Times New Roman" w:cs="Times New Roman"/>
          <w:sz w:val="26"/>
          <w:szCs w:val="26"/>
        </w:rPr>
        <w:t>3</w:t>
      </w:r>
      <w:r w:rsidRPr="00E34CD1">
        <w:rPr>
          <w:rFonts w:ascii="Times New Roman" w:hAnsi="Times New Roman" w:cs="Times New Roman"/>
          <w:sz w:val="26"/>
          <w:szCs w:val="26"/>
        </w:rPr>
        <w:t xml:space="preserve"> </w:t>
      </w:r>
      <w:r w:rsidR="00033322">
        <w:rPr>
          <w:rFonts w:ascii="Times New Roman" w:hAnsi="Times New Roman" w:cs="Times New Roman"/>
          <w:sz w:val="26"/>
          <w:szCs w:val="26"/>
        </w:rPr>
        <w:t xml:space="preserve">и 2024, 2025 и 2026 </w:t>
      </w:r>
      <w:r w:rsidRPr="00E34CD1">
        <w:rPr>
          <w:rFonts w:ascii="Times New Roman" w:hAnsi="Times New Roman" w:cs="Times New Roman"/>
          <w:sz w:val="26"/>
          <w:szCs w:val="26"/>
        </w:rPr>
        <w:t>году</w:t>
      </w:r>
      <w:r>
        <w:rPr>
          <w:rFonts w:ascii="Times New Roman" w:hAnsi="Times New Roman" w:cs="Times New Roman"/>
          <w:sz w:val="26"/>
          <w:szCs w:val="26"/>
        </w:rPr>
        <w:t xml:space="preserve"> </w:t>
      </w:r>
      <w:r w:rsidR="00033322">
        <w:rPr>
          <w:rFonts w:ascii="Times New Roman" w:hAnsi="Times New Roman" w:cs="Times New Roman"/>
          <w:sz w:val="26"/>
          <w:szCs w:val="26"/>
        </w:rPr>
        <w:t xml:space="preserve">данный показатель останется на уровне 2022 года. </w:t>
      </w:r>
    </w:p>
    <w:p w14:paraId="3A9335C3" w14:textId="7A797033" w:rsidR="00E34CD1" w:rsidRPr="00E34CD1" w:rsidRDefault="00E34CD1" w:rsidP="00E34CD1">
      <w:pPr>
        <w:tabs>
          <w:tab w:val="left" w:pos="180"/>
        </w:tabs>
        <w:ind w:firstLine="720"/>
        <w:jc w:val="both"/>
        <w:rPr>
          <w:rFonts w:ascii="Times New Roman" w:hAnsi="Times New Roman" w:cs="Times New Roman"/>
          <w:sz w:val="26"/>
          <w:szCs w:val="26"/>
        </w:rPr>
      </w:pPr>
      <w:r w:rsidRPr="00E34CD1">
        <w:rPr>
          <w:rFonts w:ascii="Times New Roman" w:hAnsi="Times New Roman" w:cs="Times New Roman"/>
          <w:sz w:val="26"/>
          <w:szCs w:val="26"/>
        </w:rPr>
        <w:t>Безработица в МО «</w:t>
      </w:r>
      <w:r w:rsidR="00AA0FD1">
        <w:rPr>
          <w:rFonts w:ascii="Times New Roman" w:hAnsi="Times New Roman" w:cs="Times New Roman"/>
          <w:sz w:val="26"/>
          <w:szCs w:val="26"/>
        </w:rPr>
        <w:t>Юкковское сельское поселение</w:t>
      </w:r>
      <w:r w:rsidRPr="00E34CD1">
        <w:rPr>
          <w:rFonts w:ascii="Times New Roman" w:hAnsi="Times New Roman" w:cs="Times New Roman"/>
          <w:sz w:val="26"/>
          <w:szCs w:val="26"/>
        </w:rPr>
        <w:t>» в 202</w:t>
      </w:r>
      <w:r w:rsidR="00AA0FD1">
        <w:rPr>
          <w:rFonts w:ascii="Times New Roman" w:hAnsi="Times New Roman" w:cs="Times New Roman"/>
          <w:sz w:val="26"/>
          <w:szCs w:val="26"/>
        </w:rPr>
        <w:t>3</w:t>
      </w:r>
      <w:r w:rsidR="003B48E6">
        <w:rPr>
          <w:rFonts w:ascii="Times New Roman" w:hAnsi="Times New Roman" w:cs="Times New Roman"/>
          <w:sz w:val="26"/>
          <w:szCs w:val="26"/>
        </w:rPr>
        <w:t xml:space="preserve"> и прогнозируемых 2024, 2025 и 2026 </w:t>
      </w:r>
      <w:r w:rsidRPr="00E34CD1">
        <w:rPr>
          <w:rFonts w:ascii="Times New Roman" w:hAnsi="Times New Roman" w:cs="Times New Roman"/>
          <w:sz w:val="26"/>
          <w:szCs w:val="26"/>
        </w:rPr>
        <w:t>год</w:t>
      </w:r>
      <w:r w:rsidR="003B48E6">
        <w:rPr>
          <w:rFonts w:ascii="Times New Roman" w:hAnsi="Times New Roman" w:cs="Times New Roman"/>
          <w:sz w:val="26"/>
          <w:szCs w:val="26"/>
        </w:rPr>
        <w:t>ах</w:t>
      </w:r>
      <w:r w:rsidR="00AA0FD1">
        <w:rPr>
          <w:rFonts w:ascii="Times New Roman" w:hAnsi="Times New Roman" w:cs="Times New Roman"/>
          <w:sz w:val="26"/>
          <w:szCs w:val="26"/>
        </w:rPr>
        <w:t xml:space="preserve"> </w:t>
      </w:r>
      <w:proofErr w:type="gramStart"/>
      <w:r w:rsidR="00AA0FD1">
        <w:rPr>
          <w:rFonts w:ascii="Times New Roman" w:hAnsi="Times New Roman" w:cs="Times New Roman"/>
          <w:sz w:val="26"/>
          <w:szCs w:val="26"/>
        </w:rPr>
        <w:t>ожидается  на</w:t>
      </w:r>
      <w:proofErr w:type="gramEnd"/>
      <w:r w:rsidR="00AA0FD1">
        <w:rPr>
          <w:rFonts w:ascii="Times New Roman" w:hAnsi="Times New Roman" w:cs="Times New Roman"/>
          <w:sz w:val="26"/>
          <w:szCs w:val="26"/>
        </w:rPr>
        <w:t xml:space="preserve"> уровне 2022 года</w:t>
      </w:r>
      <w:r w:rsidR="003B48E6">
        <w:rPr>
          <w:rFonts w:ascii="Times New Roman" w:hAnsi="Times New Roman" w:cs="Times New Roman"/>
          <w:sz w:val="26"/>
          <w:szCs w:val="26"/>
        </w:rPr>
        <w:t>.</w:t>
      </w:r>
    </w:p>
    <w:p w14:paraId="55D228DD" w14:textId="77777777" w:rsidR="004D732A" w:rsidRPr="00C64B25" w:rsidRDefault="004D732A" w:rsidP="004D732A">
      <w:pPr>
        <w:pStyle w:val="1"/>
        <w:ind w:firstLine="720"/>
        <w:jc w:val="both"/>
      </w:pPr>
    </w:p>
    <w:p w14:paraId="7A768285" w14:textId="4A27305D" w:rsidR="004D732A" w:rsidRDefault="004D732A" w:rsidP="004D732A">
      <w:pPr>
        <w:pStyle w:val="20"/>
        <w:keepNext/>
        <w:keepLines/>
        <w:numPr>
          <w:ilvl w:val="1"/>
          <w:numId w:val="1"/>
        </w:numPr>
        <w:tabs>
          <w:tab w:val="left" w:pos="1415"/>
        </w:tabs>
        <w:spacing w:after="0" w:line="259" w:lineRule="auto"/>
        <w:ind w:firstLine="700"/>
        <w:jc w:val="both"/>
      </w:pPr>
      <w:bookmarkStart w:id="8" w:name="bookmark20"/>
      <w:r>
        <w:rPr>
          <w:color w:val="000000"/>
          <w:lang w:eastAsia="ru-RU" w:bidi="ru-RU"/>
        </w:rPr>
        <w:t>Блок показателей «X</w:t>
      </w:r>
      <w:r w:rsidR="000369E9">
        <w:rPr>
          <w:color w:val="000000"/>
          <w:lang w:val="en-US" w:eastAsia="ru-RU" w:bidi="ru-RU"/>
        </w:rPr>
        <w:t>I</w:t>
      </w:r>
      <w:r>
        <w:rPr>
          <w:color w:val="000000"/>
          <w:lang w:eastAsia="ru-RU" w:bidi="ru-RU"/>
        </w:rPr>
        <w:t>. Развитие социальной сферы»</w:t>
      </w:r>
      <w:bookmarkEnd w:id="8"/>
    </w:p>
    <w:p w14:paraId="2F7A1929" w14:textId="77777777" w:rsidR="004D732A" w:rsidRDefault="004D732A" w:rsidP="004D732A">
      <w:pPr>
        <w:pStyle w:val="1"/>
        <w:spacing w:line="259" w:lineRule="auto"/>
        <w:ind w:firstLine="700"/>
        <w:jc w:val="both"/>
        <w:rPr>
          <w:color w:val="000000"/>
          <w:lang w:eastAsia="ru-RU" w:bidi="ru-RU"/>
        </w:rPr>
      </w:pPr>
    </w:p>
    <w:p w14:paraId="7A2402A6" w14:textId="77777777" w:rsidR="004D732A" w:rsidRDefault="004D732A" w:rsidP="004D732A">
      <w:pPr>
        <w:pStyle w:val="1"/>
        <w:spacing w:line="259" w:lineRule="auto"/>
        <w:ind w:firstLine="700"/>
        <w:jc w:val="both"/>
      </w:pPr>
      <w:r>
        <w:rPr>
          <w:color w:val="000000"/>
          <w:lang w:eastAsia="ru-RU" w:bidi="ru-RU"/>
        </w:rPr>
        <w:t>В блок «X. Развитие социальной сферы» включены следующие показатели:</w:t>
      </w:r>
    </w:p>
    <w:p w14:paraId="52868274" w14:textId="77777777" w:rsidR="004D732A" w:rsidRDefault="004D732A" w:rsidP="004D732A">
      <w:pPr>
        <w:pStyle w:val="1"/>
        <w:spacing w:line="259" w:lineRule="auto"/>
        <w:ind w:firstLine="700"/>
        <w:jc w:val="both"/>
      </w:pPr>
      <w:r>
        <w:rPr>
          <w:color w:val="000000"/>
          <w:lang w:eastAsia="ru-RU" w:bidi="ru-RU"/>
        </w:rPr>
        <w:t>- Уровень обеспеченности (на конец года):</w:t>
      </w:r>
    </w:p>
    <w:p w14:paraId="0D478891" w14:textId="77777777" w:rsidR="004D732A" w:rsidRDefault="004D732A" w:rsidP="004D732A">
      <w:pPr>
        <w:pStyle w:val="1"/>
        <w:spacing w:line="259" w:lineRule="auto"/>
        <w:ind w:left="1780" w:hanging="340"/>
        <w:jc w:val="both"/>
      </w:pPr>
      <w:r>
        <w:rPr>
          <w:color w:val="000000"/>
          <w:lang w:eastAsia="ru-RU" w:bidi="ru-RU"/>
        </w:rPr>
        <w:t>о Амбулаторно-поликлиническими учреждениями, посещений в смену на 1 тыс. населения;</w:t>
      </w:r>
    </w:p>
    <w:p w14:paraId="0C4ECFC9" w14:textId="77777777" w:rsidR="004D732A" w:rsidRDefault="004D732A" w:rsidP="004D732A">
      <w:pPr>
        <w:pStyle w:val="1"/>
        <w:spacing w:line="259" w:lineRule="auto"/>
        <w:ind w:left="1440" w:firstLine="0"/>
        <w:jc w:val="both"/>
      </w:pPr>
      <w:r>
        <w:rPr>
          <w:color w:val="000000"/>
          <w:lang w:eastAsia="ru-RU" w:bidi="ru-RU"/>
        </w:rPr>
        <w:t>о Общедоступными библиотеками, ед. на 1000 населения;</w:t>
      </w:r>
    </w:p>
    <w:p w14:paraId="468612D5" w14:textId="77777777" w:rsidR="004D732A" w:rsidRDefault="004D732A" w:rsidP="004D732A">
      <w:pPr>
        <w:pStyle w:val="1"/>
        <w:spacing w:line="259" w:lineRule="auto"/>
        <w:ind w:left="1440" w:firstLine="0"/>
        <w:jc w:val="both"/>
      </w:pPr>
      <w:r>
        <w:rPr>
          <w:color w:val="000000"/>
          <w:lang w:eastAsia="ru-RU" w:bidi="ru-RU"/>
        </w:rPr>
        <w:t>о Учреждениями культурно-досугового типа, ед. на 1000 населения;</w:t>
      </w:r>
    </w:p>
    <w:p w14:paraId="208D53CA" w14:textId="77777777" w:rsidR="004D732A" w:rsidRDefault="004D732A" w:rsidP="004D732A">
      <w:pPr>
        <w:pStyle w:val="1"/>
        <w:spacing w:line="259" w:lineRule="auto"/>
        <w:ind w:left="1780" w:hanging="340"/>
        <w:jc w:val="both"/>
      </w:pPr>
      <w:r>
        <w:rPr>
          <w:color w:val="000000"/>
          <w:lang w:eastAsia="ru-RU" w:bidi="ru-RU"/>
        </w:rPr>
        <w:t>о Дошкольными образовательными учреждениями, мест на 1000 детей в возрасте 1 -6 лет.</w:t>
      </w:r>
    </w:p>
    <w:p w14:paraId="68D44120" w14:textId="77777777" w:rsidR="004D732A" w:rsidRDefault="004D732A" w:rsidP="004D732A">
      <w:pPr>
        <w:pStyle w:val="1"/>
        <w:spacing w:line="259" w:lineRule="auto"/>
        <w:ind w:firstLine="720"/>
        <w:jc w:val="both"/>
      </w:pPr>
      <w:r>
        <w:rPr>
          <w:b/>
          <w:bCs/>
          <w:color w:val="000000"/>
          <w:lang w:eastAsia="ru-RU" w:bidi="ru-RU"/>
        </w:rPr>
        <w:t xml:space="preserve">Обеспеченность мощностью амбулаторно-поликлинических учреждений </w:t>
      </w:r>
      <w:r>
        <w:rPr>
          <w:color w:val="000000"/>
          <w:lang w:eastAsia="ru-RU" w:bidi="ru-RU"/>
        </w:rPr>
        <w:t>рассчитывается как отношение количества посещений амбулаторно- поликлинических учреждений в смену к 1 тыс. человек населения. В число врачебных</w:t>
      </w:r>
      <w:r w:rsidRPr="0076389B">
        <w:rPr>
          <w:color w:val="000000"/>
          <w:lang w:eastAsia="ru-RU" w:bidi="ru-RU"/>
        </w:rPr>
        <w:t xml:space="preserve"> </w:t>
      </w:r>
      <w:r>
        <w:rPr>
          <w:color w:val="000000"/>
          <w:lang w:eastAsia="ru-RU" w:bidi="ru-RU"/>
        </w:rPr>
        <w:t>амбулаторно-поликлинических учреждений включаются все медицинские учреждения, которые ведут амбулаторный прием (поликлиники, амбулатории, диспансеры, поликлинические отделения в составе больничных учреждений и др.).</w:t>
      </w:r>
    </w:p>
    <w:p w14:paraId="31D3532D" w14:textId="77777777" w:rsidR="004D732A" w:rsidRDefault="004D732A" w:rsidP="004D732A">
      <w:pPr>
        <w:pStyle w:val="1"/>
        <w:ind w:firstLine="720"/>
        <w:jc w:val="both"/>
      </w:pPr>
      <w:r>
        <w:rPr>
          <w:color w:val="000000"/>
          <w:lang w:eastAsia="ru-RU" w:bidi="ru-RU"/>
        </w:rPr>
        <w:t>На территории поселения расположен фельдшерский пункт статистической информации о количество посещений на 1 тыс. населения за 2022 год не имеется. Показатель за 2022 год и оценка в 2023 году -18 посещений взята из прогноза на 2023- 2025 годы, изменения показателя на период 2024-2026 годы не планируется.</w:t>
      </w:r>
    </w:p>
    <w:p w14:paraId="132AA411" w14:textId="77777777" w:rsidR="004D732A" w:rsidRDefault="004D732A" w:rsidP="004D732A">
      <w:pPr>
        <w:pStyle w:val="1"/>
        <w:ind w:firstLine="720"/>
        <w:jc w:val="both"/>
      </w:pPr>
      <w:r>
        <w:rPr>
          <w:b/>
          <w:bCs/>
          <w:color w:val="000000"/>
          <w:lang w:eastAsia="ru-RU" w:bidi="ru-RU"/>
        </w:rPr>
        <w:lastRenderedPageBreak/>
        <w:t xml:space="preserve">Обеспеченность населения общедоступными библиотеками </w:t>
      </w:r>
      <w:r>
        <w:rPr>
          <w:color w:val="000000"/>
          <w:lang w:eastAsia="ru-RU" w:bidi="ru-RU"/>
        </w:rPr>
        <w:t>рассчитывается как отношение количества общедоступных библиотек к численности населения.</w:t>
      </w:r>
    </w:p>
    <w:p w14:paraId="65E4D4EC" w14:textId="77777777" w:rsidR="004D732A" w:rsidRDefault="004D732A" w:rsidP="004D732A">
      <w:pPr>
        <w:pStyle w:val="1"/>
        <w:ind w:firstLine="720"/>
        <w:jc w:val="both"/>
      </w:pPr>
      <w:r>
        <w:rPr>
          <w:color w:val="000000"/>
          <w:lang w:eastAsia="ru-RU" w:bidi="ru-RU"/>
        </w:rPr>
        <w:t>На территории МО «Юкковское сельское поселение» находится 1 библиотека, показатель доступности на 1000 населения составляет 0,2 единицы. Изменение показателя в 2023 году и в плановом периоде 2024-2026 года не планируется.</w:t>
      </w:r>
    </w:p>
    <w:p w14:paraId="16C95D25" w14:textId="77777777" w:rsidR="004D732A" w:rsidRDefault="004D732A" w:rsidP="004D732A">
      <w:pPr>
        <w:pStyle w:val="1"/>
        <w:ind w:firstLine="720"/>
        <w:jc w:val="both"/>
      </w:pPr>
      <w:r>
        <w:rPr>
          <w:b/>
          <w:bCs/>
          <w:color w:val="000000"/>
          <w:lang w:eastAsia="ru-RU" w:bidi="ru-RU"/>
        </w:rPr>
        <w:t xml:space="preserve">Обеспеченность учреждениями культурно-досугового типа </w:t>
      </w:r>
      <w:r>
        <w:rPr>
          <w:color w:val="000000"/>
          <w:lang w:eastAsia="ru-RU" w:bidi="ru-RU"/>
        </w:rPr>
        <w:t>рассчитывается как отношение количества учреждений культурно-досугового типа к численности населения.</w:t>
      </w:r>
    </w:p>
    <w:p w14:paraId="46070E23" w14:textId="77777777" w:rsidR="004D732A" w:rsidRPr="00C64B25" w:rsidRDefault="004D732A" w:rsidP="004D732A">
      <w:pPr>
        <w:pStyle w:val="1"/>
        <w:ind w:firstLine="720"/>
        <w:jc w:val="both"/>
      </w:pPr>
      <w:r w:rsidRPr="00C64B25">
        <w:rPr>
          <w:lang w:eastAsia="ru-RU" w:bidi="ru-RU"/>
        </w:rPr>
        <w:t>С учетом планируемого ввода в действие в 2025 году Дома культуры коэффициент обеспеченности учреждениями культурно-досугового типа на 1000 населения планируется в 2025 году в размере 0,2 единиц.</w:t>
      </w:r>
    </w:p>
    <w:p w14:paraId="17B62950" w14:textId="77777777" w:rsidR="004D732A" w:rsidRDefault="004D732A" w:rsidP="004D732A">
      <w:pPr>
        <w:pStyle w:val="1"/>
        <w:ind w:firstLine="720"/>
        <w:jc w:val="both"/>
      </w:pPr>
      <w:r>
        <w:rPr>
          <w:b/>
          <w:bCs/>
          <w:color w:val="000000"/>
          <w:lang w:eastAsia="ru-RU" w:bidi="ru-RU"/>
        </w:rPr>
        <w:t xml:space="preserve">Обеспеченность детей в возрасте 1-6 лет местами в дошкольных образовательных учреждениях </w:t>
      </w:r>
      <w:r>
        <w:rPr>
          <w:color w:val="000000"/>
          <w:lang w:eastAsia="ru-RU" w:bidi="ru-RU"/>
        </w:rPr>
        <w:t>(на 1000 детей приходится мест), определяется отношением числа мест в дошкольных образовательных учреждениях (умноженного на 1000) к численности детей в возрасте 1-6 лет, скорректированной на численность детей в возрасте 5-6 лет, обучающихся в общеобразовательных учреждениях, и численность обучающихся 1-х классов, организованных в дошкольных образовательных учреждениях.</w:t>
      </w:r>
    </w:p>
    <w:p w14:paraId="425B9850" w14:textId="77777777" w:rsidR="004D732A" w:rsidRDefault="004D732A" w:rsidP="004D732A">
      <w:pPr>
        <w:pStyle w:val="1"/>
        <w:ind w:firstLine="720"/>
        <w:jc w:val="both"/>
      </w:pPr>
      <w:r>
        <w:rPr>
          <w:color w:val="000000"/>
          <w:lang w:eastAsia="ru-RU" w:bidi="ru-RU"/>
        </w:rPr>
        <w:t>При прогнозировании показателей обеспеченности учитываются изменения в численности населения, ожидаемые масштабы строительства объектов социально-</w:t>
      </w:r>
      <w:r>
        <w:rPr>
          <w:color w:val="000000"/>
          <w:lang w:eastAsia="ru-RU" w:bidi="ru-RU"/>
        </w:rPr>
        <w:softHyphen/>
        <w:t>культурной сферы, капитального ремонта и реконструкции, особенности стандартов и регламентов деятельности учреждений социальной сферы муниципального образования.</w:t>
      </w:r>
    </w:p>
    <w:p w14:paraId="4EEEFC05" w14:textId="77777777" w:rsidR="004D732A" w:rsidRDefault="004D732A" w:rsidP="004D732A">
      <w:pPr>
        <w:pStyle w:val="1"/>
        <w:ind w:firstLine="720"/>
        <w:jc w:val="both"/>
      </w:pPr>
      <w:r>
        <w:rPr>
          <w:color w:val="000000"/>
          <w:lang w:eastAsia="ru-RU" w:bidi="ru-RU"/>
        </w:rPr>
        <w:t>По информации Комитета по образованию администрации Всеволожского муниципального района статистических данных о количестве детей дошкольного возраста, проживающих на территории муниципального образования «Юкковское сельское поселение» не имеется. В таблице «Основные показатели прогноза социально-экономического развития муниципального образования Ленинградской области на 2024-2026 годы» указано количество мест в образовательных учреждениях, реализующих основную общеобразовательную программу дошкольного образования.</w:t>
      </w:r>
    </w:p>
    <w:p w14:paraId="4147262E" w14:textId="77777777" w:rsidR="004D732A" w:rsidRDefault="004D732A" w:rsidP="004D732A">
      <w:pPr>
        <w:pStyle w:val="1"/>
        <w:spacing w:after="300"/>
        <w:ind w:firstLine="720"/>
        <w:jc w:val="both"/>
      </w:pPr>
      <w:r>
        <w:rPr>
          <w:color w:val="000000"/>
          <w:lang w:eastAsia="ru-RU" w:bidi="ru-RU"/>
        </w:rPr>
        <w:t>Политика в сфере образования, культуры, физической культуры и спорта определена муниципальными программами: «Наша Молодежь», «Развитие культуры и спорта в МО «Юкковское сельское поселение».</w:t>
      </w:r>
    </w:p>
    <w:p w14:paraId="61908ECC" w14:textId="5C77331B" w:rsidR="004D732A" w:rsidRDefault="004D732A" w:rsidP="004D732A">
      <w:pPr>
        <w:pStyle w:val="20"/>
        <w:keepNext/>
        <w:keepLines/>
        <w:numPr>
          <w:ilvl w:val="1"/>
          <w:numId w:val="1"/>
        </w:numPr>
        <w:tabs>
          <w:tab w:val="left" w:pos="1435"/>
        </w:tabs>
        <w:spacing w:after="0"/>
        <w:jc w:val="both"/>
      </w:pPr>
      <w:bookmarkStart w:id="9" w:name="bookmark22"/>
      <w:r>
        <w:rPr>
          <w:color w:val="000000"/>
          <w:lang w:eastAsia="ru-RU" w:bidi="ru-RU"/>
        </w:rPr>
        <w:t>Блок показателей «X</w:t>
      </w:r>
      <w:r>
        <w:rPr>
          <w:color w:val="000000"/>
          <w:lang w:val="en-US" w:eastAsia="ru-RU" w:bidi="ru-RU"/>
        </w:rPr>
        <w:t>I</w:t>
      </w:r>
      <w:r w:rsidR="000369E9">
        <w:rPr>
          <w:color w:val="000000"/>
          <w:lang w:val="en-US" w:eastAsia="ru-RU" w:bidi="ru-RU"/>
        </w:rPr>
        <w:t>I</w:t>
      </w:r>
      <w:r>
        <w:rPr>
          <w:color w:val="000000"/>
          <w:lang w:eastAsia="ru-RU" w:bidi="ru-RU"/>
        </w:rPr>
        <w:t>. Благоустройство территории»</w:t>
      </w:r>
      <w:bookmarkEnd w:id="9"/>
    </w:p>
    <w:p w14:paraId="01C30B05" w14:textId="77777777" w:rsidR="004D732A" w:rsidRDefault="004D732A" w:rsidP="004D732A">
      <w:pPr>
        <w:pStyle w:val="1"/>
        <w:ind w:firstLine="680"/>
        <w:jc w:val="both"/>
      </w:pPr>
      <w:r>
        <w:rPr>
          <w:color w:val="000000"/>
          <w:lang w:eastAsia="ru-RU" w:bidi="ru-RU"/>
        </w:rPr>
        <w:t>В блок «XII. Благоустройство территории» включены следующие показатели:</w:t>
      </w:r>
    </w:p>
    <w:p w14:paraId="328A694D" w14:textId="77777777" w:rsidR="004D732A" w:rsidRDefault="004D732A" w:rsidP="004D732A">
      <w:pPr>
        <w:pStyle w:val="1"/>
        <w:numPr>
          <w:ilvl w:val="0"/>
          <w:numId w:val="5"/>
        </w:numPr>
        <w:tabs>
          <w:tab w:val="left" w:pos="1026"/>
        </w:tabs>
        <w:ind w:firstLine="680"/>
        <w:jc w:val="both"/>
      </w:pPr>
      <w:r>
        <w:rPr>
          <w:color w:val="000000"/>
          <w:lang w:eastAsia="ru-RU" w:bidi="ru-RU"/>
        </w:rPr>
        <w:t>Количество благоустроенных общественных территорий, единиц;</w:t>
      </w:r>
    </w:p>
    <w:p w14:paraId="02F68872" w14:textId="77777777" w:rsidR="004D732A" w:rsidRDefault="004D732A" w:rsidP="004D732A">
      <w:pPr>
        <w:pStyle w:val="1"/>
        <w:numPr>
          <w:ilvl w:val="0"/>
          <w:numId w:val="5"/>
        </w:numPr>
        <w:tabs>
          <w:tab w:val="left" w:pos="1134"/>
        </w:tabs>
        <w:spacing w:after="320"/>
        <w:ind w:firstLine="720"/>
        <w:jc w:val="both"/>
      </w:pPr>
      <w:r>
        <w:rPr>
          <w:color w:val="000000"/>
          <w:lang w:eastAsia="ru-RU" w:bidi="ru-RU"/>
        </w:rPr>
        <w:t>Количество благоустроенных дворовых территорий, единиц.</w:t>
      </w:r>
    </w:p>
    <w:p w14:paraId="46DD1CE2" w14:textId="77777777" w:rsidR="004D732A" w:rsidRDefault="004D732A" w:rsidP="004D732A">
      <w:pPr>
        <w:pStyle w:val="1"/>
        <w:ind w:firstLine="720"/>
        <w:jc w:val="both"/>
      </w:pPr>
      <w:r>
        <w:rPr>
          <w:color w:val="000000"/>
          <w:lang w:eastAsia="ru-RU" w:bidi="ru-RU"/>
        </w:rPr>
        <w:t>Показатели блока «XI. Благоустройство территории» формируются и прогнозируются в соответствии с итогами и планами реализации проектов федерального, регионального и муниципального уровня по созданию комфортной городской среды.</w:t>
      </w:r>
    </w:p>
    <w:p w14:paraId="2BA9EF09" w14:textId="77777777" w:rsidR="004D732A" w:rsidRDefault="004D732A" w:rsidP="004D732A">
      <w:pPr>
        <w:pStyle w:val="1"/>
        <w:spacing w:after="320"/>
        <w:ind w:firstLine="720"/>
        <w:jc w:val="both"/>
        <w:rPr>
          <w:color w:val="000000"/>
          <w:lang w:eastAsia="ru-RU" w:bidi="ru-RU"/>
        </w:rPr>
      </w:pPr>
      <w:r>
        <w:rPr>
          <w:color w:val="000000"/>
          <w:lang w:eastAsia="ru-RU" w:bidi="ru-RU"/>
        </w:rPr>
        <w:lastRenderedPageBreak/>
        <w:t>Количество благоустроенных общественных территорий в 2022 году составило 7 единиц, в 2023 году 4 единицы и на плановый период 2024-2026 годы составляет 1 единицу ежегодно.</w:t>
      </w:r>
    </w:p>
    <w:p w14:paraId="3143EA16" w14:textId="77777777" w:rsidR="004D732A" w:rsidRDefault="004D732A" w:rsidP="004D732A">
      <w:pPr>
        <w:pStyle w:val="20"/>
        <w:keepNext/>
        <w:keepLines/>
        <w:numPr>
          <w:ilvl w:val="0"/>
          <w:numId w:val="1"/>
        </w:numPr>
        <w:tabs>
          <w:tab w:val="left" w:pos="1382"/>
        </w:tabs>
        <w:spacing w:after="0"/>
        <w:jc w:val="both"/>
      </w:pPr>
      <w:bookmarkStart w:id="10" w:name="bookmark24"/>
      <w:r>
        <w:rPr>
          <w:color w:val="000000"/>
          <w:lang w:eastAsia="ru-RU" w:bidi="ru-RU"/>
        </w:rPr>
        <w:t>Заключение</w:t>
      </w:r>
      <w:bookmarkEnd w:id="10"/>
    </w:p>
    <w:p w14:paraId="15782237" w14:textId="77777777" w:rsidR="004D732A" w:rsidRDefault="004D732A" w:rsidP="004D732A">
      <w:pPr>
        <w:pStyle w:val="1"/>
        <w:ind w:firstLine="720"/>
        <w:jc w:val="both"/>
      </w:pPr>
      <w:r>
        <w:rPr>
          <w:color w:val="000000"/>
          <w:lang w:eastAsia="ru-RU" w:bidi="ru-RU"/>
        </w:rPr>
        <w:t>В 2024-2026 годах в МО «Юкковское сельское поселение» продолжится решение следующих задач в рамках решения вопросов местного значения:</w:t>
      </w:r>
    </w:p>
    <w:p w14:paraId="3CC551C0" w14:textId="77777777" w:rsidR="004D732A" w:rsidRDefault="004D732A" w:rsidP="004D732A">
      <w:pPr>
        <w:pStyle w:val="1"/>
        <w:numPr>
          <w:ilvl w:val="0"/>
          <w:numId w:val="6"/>
        </w:numPr>
        <w:tabs>
          <w:tab w:val="left" w:pos="1134"/>
        </w:tabs>
        <w:ind w:firstLine="720"/>
        <w:jc w:val="both"/>
      </w:pPr>
      <w:r>
        <w:rPr>
          <w:color w:val="000000"/>
          <w:lang w:eastAsia="ru-RU" w:bidi="ru-RU"/>
        </w:rPr>
        <w:t>Повышение качества и доступности предоставляемых гражданам и организациям муниципальных услуг.</w:t>
      </w:r>
    </w:p>
    <w:p w14:paraId="78DE0E4F" w14:textId="77777777" w:rsidR="004D732A" w:rsidRDefault="004D732A" w:rsidP="004D732A">
      <w:pPr>
        <w:pStyle w:val="1"/>
        <w:numPr>
          <w:ilvl w:val="0"/>
          <w:numId w:val="6"/>
        </w:numPr>
        <w:tabs>
          <w:tab w:val="left" w:pos="1134"/>
        </w:tabs>
        <w:ind w:firstLine="720"/>
        <w:jc w:val="both"/>
      </w:pPr>
      <w:r>
        <w:rPr>
          <w:color w:val="000000"/>
          <w:lang w:eastAsia="ru-RU" w:bidi="ru-RU"/>
        </w:rPr>
        <w:t>Реализация муниципальных программ по ремонту и реконструкции объектов жилищно-коммунального хозяйства, капитальному ремонту многоквартирных жилых домов, дорог, благоустройству территории, обеспечению безопасности и др.</w:t>
      </w:r>
    </w:p>
    <w:p w14:paraId="79D7EB8D" w14:textId="77777777" w:rsidR="004D732A" w:rsidRDefault="004D732A" w:rsidP="004D732A">
      <w:pPr>
        <w:pStyle w:val="1"/>
        <w:numPr>
          <w:ilvl w:val="0"/>
          <w:numId w:val="6"/>
        </w:numPr>
        <w:tabs>
          <w:tab w:val="left" w:pos="1134"/>
        </w:tabs>
        <w:ind w:firstLine="720"/>
        <w:jc w:val="both"/>
      </w:pPr>
      <w:r>
        <w:rPr>
          <w:color w:val="000000"/>
          <w:lang w:eastAsia="ru-RU" w:bidi="ru-RU"/>
        </w:rPr>
        <w:t>Создание условий для развития физической культуры и спорта среди различных категорий населения, в том числе строительство и ремонт дворовых спортивных площадок.</w:t>
      </w:r>
    </w:p>
    <w:p w14:paraId="6B746DFE" w14:textId="77777777" w:rsidR="004D732A" w:rsidRDefault="004D732A" w:rsidP="004D732A">
      <w:pPr>
        <w:pStyle w:val="1"/>
        <w:numPr>
          <w:ilvl w:val="0"/>
          <w:numId w:val="6"/>
        </w:numPr>
        <w:tabs>
          <w:tab w:val="left" w:pos="1134"/>
        </w:tabs>
        <w:ind w:firstLine="720"/>
        <w:jc w:val="both"/>
      </w:pPr>
      <w:r>
        <w:rPr>
          <w:color w:val="000000"/>
          <w:lang w:eastAsia="ru-RU" w:bidi="ru-RU"/>
        </w:rPr>
        <w:t>Реализация мероприятий по организации культурного досуга и пропаганде здорового образа жизни среди населения.</w:t>
      </w:r>
    </w:p>
    <w:p w14:paraId="6CAC8728" w14:textId="77777777" w:rsidR="004D732A" w:rsidRDefault="004D732A" w:rsidP="004D732A">
      <w:pPr>
        <w:pStyle w:val="1"/>
        <w:numPr>
          <w:ilvl w:val="0"/>
          <w:numId w:val="6"/>
        </w:numPr>
        <w:tabs>
          <w:tab w:val="left" w:pos="1134"/>
        </w:tabs>
        <w:spacing w:after="160"/>
        <w:ind w:firstLine="720"/>
        <w:jc w:val="both"/>
      </w:pPr>
      <w:r>
        <w:rPr>
          <w:color w:val="000000"/>
          <w:lang w:eastAsia="ru-RU" w:bidi="ru-RU"/>
        </w:rPr>
        <w:t>Развитие работы с детьми и молодежью по месту жительства, поддержка молодежного досуга и физического развития населения.</w:t>
      </w:r>
    </w:p>
    <w:p w14:paraId="31C9FA4D" w14:textId="77777777" w:rsidR="004D732A" w:rsidRDefault="004D732A" w:rsidP="004D732A"/>
    <w:p w14:paraId="764556FE" w14:textId="77777777" w:rsidR="00412E09" w:rsidRDefault="00412E09"/>
    <w:sectPr w:rsidR="00412E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11ACB"/>
    <w:multiLevelType w:val="multilevel"/>
    <w:tmpl w:val="2A6A8E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98439E"/>
    <w:multiLevelType w:val="multilevel"/>
    <w:tmpl w:val="B05C49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5512111"/>
    <w:multiLevelType w:val="multilevel"/>
    <w:tmpl w:val="A880B8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A67526"/>
    <w:multiLevelType w:val="multilevel"/>
    <w:tmpl w:val="EEB64C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1940E7"/>
    <w:multiLevelType w:val="multilevel"/>
    <w:tmpl w:val="34DAED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F873903"/>
    <w:multiLevelType w:val="multilevel"/>
    <w:tmpl w:val="DD7A2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30719483">
    <w:abstractNumId w:val="2"/>
  </w:num>
  <w:num w:numId="2" w16cid:durableId="914821950">
    <w:abstractNumId w:val="3"/>
  </w:num>
  <w:num w:numId="3" w16cid:durableId="1109281210">
    <w:abstractNumId w:val="4"/>
  </w:num>
  <w:num w:numId="4" w16cid:durableId="1064186068">
    <w:abstractNumId w:val="1"/>
  </w:num>
  <w:num w:numId="5" w16cid:durableId="1354266725">
    <w:abstractNumId w:val="0"/>
  </w:num>
  <w:num w:numId="6" w16cid:durableId="3928546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72A"/>
    <w:rsid w:val="00033322"/>
    <w:rsid w:val="000369E9"/>
    <w:rsid w:val="0026472A"/>
    <w:rsid w:val="003B48E6"/>
    <w:rsid w:val="00402A3B"/>
    <w:rsid w:val="00412E09"/>
    <w:rsid w:val="004C1246"/>
    <w:rsid w:val="004D732A"/>
    <w:rsid w:val="005E00D1"/>
    <w:rsid w:val="006F0F77"/>
    <w:rsid w:val="00976D2F"/>
    <w:rsid w:val="00AA0FD1"/>
    <w:rsid w:val="00DD6418"/>
    <w:rsid w:val="00E34CD1"/>
    <w:rsid w:val="00FB0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BE7D2"/>
  <w15:chartTrackingRefBased/>
  <w15:docId w15:val="{B1D3A3AD-E59E-4EEC-9D49-791769AA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4D732A"/>
    <w:rPr>
      <w:rFonts w:ascii="Times New Roman" w:eastAsia="Times New Roman" w:hAnsi="Times New Roman" w:cs="Times New Roman"/>
      <w:sz w:val="26"/>
      <w:szCs w:val="26"/>
    </w:rPr>
  </w:style>
  <w:style w:type="character" w:customStyle="1" w:styleId="2">
    <w:name w:val="Заголовок №2_"/>
    <w:basedOn w:val="a0"/>
    <w:link w:val="20"/>
    <w:rsid w:val="004D732A"/>
    <w:rPr>
      <w:rFonts w:ascii="Times New Roman" w:eastAsia="Times New Roman" w:hAnsi="Times New Roman" w:cs="Times New Roman"/>
      <w:b/>
      <w:bCs/>
      <w:sz w:val="26"/>
      <w:szCs w:val="26"/>
    </w:rPr>
  </w:style>
  <w:style w:type="paragraph" w:customStyle="1" w:styleId="1">
    <w:name w:val="Основной текст1"/>
    <w:basedOn w:val="a"/>
    <w:link w:val="a3"/>
    <w:rsid w:val="004D732A"/>
    <w:pPr>
      <w:widowControl w:val="0"/>
      <w:spacing w:after="0" w:line="257" w:lineRule="auto"/>
      <w:ind w:firstLine="400"/>
    </w:pPr>
    <w:rPr>
      <w:rFonts w:ascii="Times New Roman" w:eastAsia="Times New Roman" w:hAnsi="Times New Roman" w:cs="Times New Roman"/>
      <w:sz w:val="26"/>
      <w:szCs w:val="26"/>
    </w:rPr>
  </w:style>
  <w:style w:type="paragraph" w:customStyle="1" w:styleId="20">
    <w:name w:val="Заголовок №2"/>
    <w:basedOn w:val="a"/>
    <w:link w:val="2"/>
    <w:rsid w:val="004D732A"/>
    <w:pPr>
      <w:widowControl w:val="0"/>
      <w:spacing w:after="150" w:line="257" w:lineRule="auto"/>
      <w:ind w:firstLine="720"/>
      <w:outlineLvl w:val="1"/>
    </w:pPr>
    <w:rPr>
      <w:rFonts w:ascii="Times New Roman" w:eastAsia="Times New Roman" w:hAnsi="Times New Roman" w:cs="Times New Roman"/>
      <w:b/>
      <w:bCs/>
      <w:sz w:val="26"/>
      <w:szCs w:val="26"/>
    </w:rPr>
  </w:style>
  <w:style w:type="paragraph" w:styleId="a4">
    <w:name w:val="Body Text"/>
    <w:basedOn w:val="a"/>
    <w:link w:val="a5"/>
    <w:uiPriority w:val="99"/>
    <w:semiHidden/>
    <w:unhideWhenUsed/>
    <w:rsid w:val="00E34CD1"/>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uiPriority w:val="99"/>
    <w:semiHidden/>
    <w:rsid w:val="00E34CD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etrostat.gks.ru/main_indicator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13</Pages>
  <Words>4933</Words>
  <Characters>28119</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Митлинова</dc:creator>
  <cp:keywords/>
  <dc:description/>
  <cp:lastModifiedBy>Настя Горшкова</cp:lastModifiedBy>
  <cp:revision>8</cp:revision>
  <dcterms:created xsi:type="dcterms:W3CDTF">2023-09-22T06:29:00Z</dcterms:created>
  <dcterms:modified xsi:type="dcterms:W3CDTF">2023-11-01T07:14:00Z</dcterms:modified>
</cp:coreProperties>
</file>